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40858" w14:textId="27804B3C" w:rsidR="00F76801" w:rsidRPr="008F245A" w:rsidRDefault="00F76801" w:rsidP="00F76801">
      <w:pPr>
        <w:pStyle w:val="CRCoverPage"/>
        <w:tabs>
          <w:tab w:val="right" w:pos="9639"/>
        </w:tabs>
        <w:spacing w:beforeLines="50" w:before="156"/>
        <w:rPr>
          <w:rFonts w:ascii="Times New Roman" w:eastAsia="宋体" w:hAnsi="Times New Roman"/>
          <w:b/>
          <w:sz w:val="24"/>
          <w:szCs w:val="24"/>
          <w:lang w:val="en-US" w:eastAsia="zh-CN"/>
        </w:rPr>
      </w:pPr>
      <w:bookmarkStart w:id="0" w:name="_Ref399006623"/>
      <w:bookmarkStart w:id="1" w:name="_Toc92513360"/>
      <w:r w:rsidRPr="008F245A">
        <w:rPr>
          <w:rFonts w:ascii="Times New Roman" w:hAnsi="Times New Roman"/>
          <w:b/>
          <w:sz w:val="24"/>
          <w:szCs w:val="24"/>
        </w:rPr>
        <w:t>3GPP TSG-</w:t>
      </w:r>
      <w:r w:rsidRPr="008F245A">
        <w:rPr>
          <w:rFonts w:ascii="Times New Roman" w:hAnsi="Times New Roman"/>
          <w:b/>
          <w:sz w:val="24"/>
          <w:szCs w:val="24"/>
          <w:lang w:val="en-US" w:eastAsia="zh-CN"/>
        </w:rPr>
        <w:t>RAN</w:t>
      </w:r>
      <w:r w:rsidRPr="008F245A">
        <w:rPr>
          <w:rFonts w:ascii="Times New Roman" w:hAnsi="Times New Roman"/>
          <w:b/>
          <w:sz w:val="24"/>
          <w:szCs w:val="24"/>
        </w:rPr>
        <w:t xml:space="preserve"> </w:t>
      </w:r>
      <w:r w:rsidRPr="008F245A">
        <w:rPr>
          <w:rFonts w:ascii="Times New Roman" w:eastAsia="宋体" w:hAnsi="Times New Roman"/>
          <w:b/>
          <w:sz w:val="24"/>
          <w:szCs w:val="24"/>
          <w:lang w:val="en-US" w:eastAsia="zh-CN"/>
        </w:rPr>
        <w:t xml:space="preserve">WG4 </w:t>
      </w:r>
      <w:r w:rsidRPr="008F245A">
        <w:rPr>
          <w:rFonts w:ascii="Times New Roman" w:hAnsi="Times New Roman"/>
          <w:b/>
          <w:sz w:val="24"/>
          <w:szCs w:val="24"/>
        </w:rPr>
        <w:t>Meeting 117</w:t>
      </w:r>
      <w:r w:rsidRPr="008F245A">
        <w:rPr>
          <w:rFonts w:ascii="Times New Roman" w:hAnsi="Times New Roman"/>
          <w:b/>
          <w:i/>
          <w:sz w:val="24"/>
          <w:szCs w:val="24"/>
        </w:rPr>
        <w:tab/>
      </w:r>
      <w:r w:rsidR="0092281B" w:rsidRPr="0092281B">
        <w:rPr>
          <w:rFonts w:ascii="Times New Roman" w:eastAsia="宋体" w:hAnsi="Times New Roman"/>
          <w:b/>
          <w:sz w:val="24"/>
          <w:szCs w:val="24"/>
          <w:lang w:val="en-US" w:eastAsia="zh-CN"/>
        </w:rPr>
        <w:t>R4-2520492</w:t>
      </w:r>
    </w:p>
    <w:p w14:paraId="21F11F84" w14:textId="77777777" w:rsidR="00F76801" w:rsidRPr="008F245A" w:rsidRDefault="00F76801" w:rsidP="00F76801">
      <w:pPr>
        <w:tabs>
          <w:tab w:val="left" w:pos="1985"/>
        </w:tabs>
        <w:spacing w:after="120"/>
        <w:ind w:left="1980" w:hanging="1980"/>
        <w:jc w:val="both"/>
        <w:rPr>
          <w:rFonts w:eastAsia="MS Mincho"/>
          <w:b/>
          <w:sz w:val="24"/>
          <w:szCs w:val="24"/>
        </w:rPr>
      </w:pPr>
      <w:r w:rsidRPr="008F245A">
        <w:rPr>
          <w:b/>
          <w:sz w:val="24"/>
          <w:szCs w:val="24"/>
          <w:lang w:eastAsia="en-US"/>
        </w:rPr>
        <w:t>Dallas, USA, Nov. 17-21, 2025</w:t>
      </w:r>
    </w:p>
    <w:p w14:paraId="2FF1AEC2" w14:textId="77777777" w:rsidR="00687D5D" w:rsidRPr="00F76801" w:rsidRDefault="00687D5D" w:rsidP="00D77FC7">
      <w:pPr>
        <w:tabs>
          <w:tab w:val="left" w:pos="1985"/>
        </w:tabs>
        <w:spacing w:beforeLines="50" w:before="156" w:afterLines="50" w:after="156"/>
        <w:rPr>
          <w:bCs/>
        </w:rPr>
      </w:pPr>
    </w:p>
    <w:p w14:paraId="65CA2310" w14:textId="77777777" w:rsidR="00687D5D" w:rsidRPr="00A16C68" w:rsidRDefault="00D37B1D" w:rsidP="00D77FC7">
      <w:pPr>
        <w:tabs>
          <w:tab w:val="left" w:pos="1985"/>
        </w:tabs>
        <w:spacing w:beforeLines="50" w:before="156" w:afterLines="50" w:after="156"/>
        <w:rPr>
          <w:bCs/>
        </w:rPr>
      </w:pPr>
      <w:r w:rsidRPr="00A16C68">
        <w:rPr>
          <w:bCs/>
        </w:rPr>
        <w:t xml:space="preserve">Source: </w:t>
      </w:r>
      <w:r w:rsidRPr="00A16C68">
        <w:rPr>
          <w:bCs/>
        </w:rPr>
        <w:tab/>
        <w:t>Xiaomi</w:t>
      </w:r>
    </w:p>
    <w:p w14:paraId="16B00DCF" w14:textId="44C3655B" w:rsidR="00687D5D" w:rsidRPr="00A16C68" w:rsidRDefault="00D37B1D" w:rsidP="00D77FC7">
      <w:pPr>
        <w:spacing w:beforeLines="50" w:before="156" w:afterLines="50" w:after="156"/>
        <w:ind w:left="1985" w:hanging="1985"/>
        <w:rPr>
          <w:bCs/>
        </w:rPr>
      </w:pPr>
      <w:r w:rsidRPr="00A16C68">
        <w:rPr>
          <w:bCs/>
        </w:rPr>
        <w:t xml:space="preserve">Title: </w:t>
      </w:r>
      <w:r w:rsidRPr="00A16C68">
        <w:rPr>
          <w:bCs/>
        </w:rPr>
        <w:tab/>
      </w:r>
      <w:r w:rsidR="00C615D0" w:rsidRPr="00A16C68">
        <w:rPr>
          <w:rStyle w:val="a9"/>
          <w:b w:val="0"/>
          <w:bCs w:val="0"/>
          <w:shd w:val="clear" w:color="auto" w:fill="FFFFFF"/>
        </w:rPr>
        <w:t>Overview for 6GR RAN4 centric AI use cases</w:t>
      </w:r>
    </w:p>
    <w:p w14:paraId="7B0E6E60" w14:textId="6C93DBAD" w:rsidR="00687D5D" w:rsidRPr="00A16C68" w:rsidRDefault="00D37B1D" w:rsidP="00D77FC7">
      <w:pPr>
        <w:spacing w:beforeLines="50" w:before="156" w:afterLines="50" w:after="156"/>
        <w:ind w:left="1985" w:hanging="1985"/>
        <w:rPr>
          <w:bCs/>
          <w:highlight w:val="yellow"/>
        </w:rPr>
      </w:pPr>
      <w:r w:rsidRPr="00A16C68">
        <w:rPr>
          <w:bCs/>
        </w:rPr>
        <w:t>Agenda Item:</w:t>
      </w:r>
      <w:r w:rsidRPr="00A16C68">
        <w:rPr>
          <w:bCs/>
        </w:rPr>
        <w:tab/>
      </w:r>
      <w:r w:rsidR="00C615D0" w:rsidRPr="00A16C68">
        <w:rPr>
          <w:bCs/>
        </w:rPr>
        <w:t>8.</w:t>
      </w:r>
      <w:r w:rsidR="0092281B">
        <w:rPr>
          <w:bCs/>
        </w:rPr>
        <w:t>8.2</w:t>
      </w:r>
    </w:p>
    <w:p w14:paraId="73AD5135" w14:textId="77777777" w:rsidR="00687D5D" w:rsidRPr="00A16C68" w:rsidRDefault="00D37B1D" w:rsidP="00D77FC7">
      <w:pPr>
        <w:tabs>
          <w:tab w:val="left" w:pos="1990"/>
        </w:tabs>
        <w:spacing w:beforeLines="50" w:before="156" w:afterLines="50" w:after="156"/>
        <w:rPr>
          <w:bCs/>
        </w:rPr>
      </w:pPr>
      <w:r w:rsidRPr="00A16C68">
        <w:rPr>
          <w:bCs/>
        </w:rPr>
        <w:t>Document for:</w:t>
      </w:r>
      <w:r w:rsidRPr="00A16C68">
        <w:rPr>
          <w:bCs/>
        </w:rPr>
        <w:tab/>
        <w:t>Discussion</w:t>
      </w:r>
    </w:p>
    <w:bookmarkEnd w:id="0"/>
    <w:bookmarkEnd w:id="1"/>
    <w:p w14:paraId="5B1153AA" w14:textId="77777777" w:rsidR="00687D5D" w:rsidRPr="00A16C68" w:rsidRDefault="00D37B1D" w:rsidP="00D77FC7">
      <w:pPr>
        <w:keepNext/>
        <w:keepLines/>
        <w:pBdr>
          <w:top w:val="single" w:sz="12" w:space="3" w:color="auto"/>
        </w:pBdr>
        <w:spacing w:beforeLines="50" w:before="156" w:afterLines="50" w:after="156"/>
        <w:textAlignment w:val="baseline"/>
        <w:outlineLvl w:val="0"/>
        <w:rPr>
          <w:bCs/>
          <w:sz w:val="30"/>
          <w:szCs w:val="30"/>
        </w:rPr>
      </w:pPr>
      <w:r w:rsidRPr="00A16C68">
        <w:rPr>
          <w:bCs/>
          <w:sz w:val="30"/>
          <w:szCs w:val="30"/>
        </w:rPr>
        <w:t>1 Introduction</w:t>
      </w:r>
    </w:p>
    <w:p w14:paraId="26E7C885" w14:textId="649667F2" w:rsidR="00FE10D9" w:rsidRPr="00A16C68" w:rsidRDefault="00FE10D9" w:rsidP="008427DD">
      <w:pPr>
        <w:spacing w:beforeLines="50" w:before="156" w:afterLines="50" w:after="156"/>
        <w:rPr>
          <w:bCs/>
        </w:rPr>
      </w:pPr>
      <w:r w:rsidRPr="00A16C68">
        <w:rPr>
          <w:shd w:val="clear" w:color="auto" w:fill="FFFFFF"/>
        </w:rPr>
        <w:t>Radio Resource Management (RRM) measurements are the cornerstone of network performance. However, the 5G NR framework, as specified in TS 38.133, established a measurement system that faces critical challenges in 6G scenarios—especially regarding receive beam sweeping efficiency and redundant cell measurement overhead. While evolutionary enhancements can provide incremental benefits, we believe 6G requires a paradigm shift. This proposal argues that by leveraging Artificial Intelligence (AI), we can create a predictive measurement framework optimized for receive beam sweeping and cell measurement selection, and that RAN4 is the ideal group to lead this crucial study for 6G.</w:t>
      </w:r>
    </w:p>
    <w:p w14:paraId="1917C895" w14:textId="77777777" w:rsidR="00687D5D" w:rsidRPr="00A16C68" w:rsidRDefault="00D37B1D" w:rsidP="00D77FC7">
      <w:pPr>
        <w:keepNext/>
        <w:keepLines/>
        <w:pBdr>
          <w:top w:val="single" w:sz="12" w:space="3" w:color="auto"/>
        </w:pBdr>
        <w:spacing w:beforeLines="50" w:before="156" w:afterLines="50" w:after="156"/>
        <w:textAlignment w:val="baseline"/>
        <w:outlineLvl w:val="0"/>
        <w:rPr>
          <w:bCs/>
          <w:sz w:val="30"/>
          <w:szCs w:val="30"/>
        </w:rPr>
      </w:pPr>
      <w:r w:rsidRPr="00A16C68">
        <w:rPr>
          <w:bCs/>
          <w:sz w:val="30"/>
          <w:szCs w:val="30"/>
        </w:rPr>
        <w:t>2 Discussion</w:t>
      </w:r>
    </w:p>
    <w:p w14:paraId="4076AA49" w14:textId="06A8A9C4" w:rsidR="00687D5D" w:rsidRPr="00A16C68" w:rsidRDefault="00D37B1D" w:rsidP="00D77FC7">
      <w:pPr>
        <w:pStyle w:val="2"/>
        <w:spacing w:beforeLines="50" w:before="156" w:afterLines="50" w:after="156"/>
        <w:rPr>
          <w:rFonts w:ascii="Times New Roman" w:eastAsiaTheme="minorEastAsia" w:hAnsi="Times New Roman" w:cs="Times New Roman"/>
          <w:bCs/>
          <w:sz w:val="28"/>
          <w:szCs w:val="28"/>
        </w:rPr>
      </w:pPr>
      <w:r w:rsidRPr="00A16C68">
        <w:rPr>
          <w:rFonts w:ascii="Times New Roman" w:eastAsiaTheme="minorEastAsia" w:hAnsi="Times New Roman" w:cs="Times New Roman"/>
          <w:bCs/>
          <w:sz w:val="28"/>
          <w:szCs w:val="28"/>
        </w:rPr>
        <w:t xml:space="preserve">2.1 </w:t>
      </w:r>
      <w:r w:rsidR="00FE10D9" w:rsidRPr="00A16C68">
        <w:rPr>
          <w:rFonts w:ascii="Times New Roman" w:eastAsiaTheme="minorEastAsia" w:hAnsi="Times New Roman" w:cs="Times New Roman"/>
          <w:bCs/>
          <w:sz w:val="28"/>
          <w:szCs w:val="28"/>
        </w:rPr>
        <w:t>Current Receive Beam Sweeping Inefficiencies in RRM Framework</w:t>
      </w:r>
    </w:p>
    <w:p w14:paraId="63A737A0"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color w:val="0F1115"/>
          <w:lang w:val="en-US" w:eastAsia="zh-CN"/>
        </w:rPr>
        <w:t>In the 5G NR framework, the UE relies on exhaustive receive (Rx) beam sweeping (defined by factor N in TS 38.133) for RRM measurements. The current specification assumes relatively wide Rx beams with N=8, which provides a baseline level of efficiency for current deployments. However, this approach requires the UE to sweep across all configured Rx beams sequentially, with no intelligent mechanism to identify and skip redundant or low-quality beam directions.</w:t>
      </w:r>
    </w:p>
    <w:p w14:paraId="210DE85E"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b/>
          <w:bCs/>
          <w:color w:val="0F1115"/>
          <w:lang w:val="en-US" w:eastAsia="zh-CN"/>
        </w:rPr>
        <w:t>The critical challenge emerges when considering 6G evolution:</w:t>
      </w:r>
      <w:r w:rsidRPr="00877184">
        <w:rPr>
          <w:rFonts w:eastAsia="宋体"/>
          <w:color w:val="0F1115"/>
          <w:lang w:val="en-US" w:eastAsia="zh-CN"/>
        </w:rPr>
        <w:t> With the anticipated convergence of L1 and L3 measurement procedures and the transition toward narrower receive beams for enhanced spatial resolution, the number of beams required for comprehensive spatial coverage will significantly increase. Preliminary analysis indicates that future systems may require 16 to 24 narrow beams to achieve the same spatial coverage that currently requires only 8 wide beams. This 2-3x increase in beam count would directly translate to proportional increases in measurement latency and power consumption if exhaustive sweeping methods persist.</w:t>
      </w:r>
    </w:p>
    <w:p w14:paraId="2D981F90"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color w:val="0F1115"/>
          <w:lang w:val="en-US" w:eastAsia="zh-CN"/>
        </w:rPr>
        <w:t>The scalability challenges of exhaustive sweeping will be fundamentally exacerbated in 6G systems by three key factors:</w:t>
      </w:r>
    </w:p>
    <w:p w14:paraId="3FFFA0BE" w14:textId="77777777" w:rsidR="00877184" w:rsidRPr="00877184" w:rsidRDefault="00877184" w:rsidP="00877184">
      <w:pPr>
        <w:numPr>
          <w:ilvl w:val="0"/>
          <w:numId w:val="16"/>
        </w:numPr>
        <w:shd w:val="clear" w:color="auto" w:fill="FFFFFF"/>
        <w:overflowPunct/>
        <w:autoSpaceDE/>
        <w:autoSpaceDN/>
        <w:adjustRightInd/>
        <w:spacing w:before="100" w:beforeAutospacing="1" w:after="0"/>
        <w:rPr>
          <w:rFonts w:eastAsia="宋体"/>
          <w:color w:val="0F1115"/>
          <w:lang w:val="en-US" w:eastAsia="zh-CN"/>
        </w:rPr>
      </w:pPr>
      <w:r w:rsidRPr="00877184">
        <w:rPr>
          <w:rFonts w:eastAsia="宋体"/>
          <w:b/>
          <w:bCs/>
          <w:color w:val="0F1115"/>
          <w:lang w:val="en-US" w:eastAsia="zh-CN"/>
        </w:rPr>
        <w:lastRenderedPageBreak/>
        <w:t>Increased beam count per spatial coverage area</w:t>
      </w:r>
      <w:r w:rsidRPr="00877184">
        <w:rPr>
          <w:rFonts w:eastAsia="宋体"/>
          <w:color w:val="0F1115"/>
          <w:lang w:val="en-US" w:eastAsia="zh-CN"/>
        </w:rPr>
        <w:t> due to narrower beamwidths</w:t>
      </w:r>
    </w:p>
    <w:p w14:paraId="4CC67329" w14:textId="77777777" w:rsidR="00877184" w:rsidRPr="00877184" w:rsidRDefault="00877184" w:rsidP="00877184">
      <w:pPr>
        <w:numPr>
          <w:ilvl w:val="0"/>
          <w:numId w:val="16"/>
        </w:numPr>
        <w:shd w:val="clear" w:color="auto" w:fill="FFFFFF"/>
        <w:overflowPunct/>
        <w:autoSpaceDE/>
        <w:autoSpaceDN/>
        <w:adjustRightInd/>
        <w:spacing w:before="100" w:beforeAutospacing="1" w:after="0"/>
        <w:rPr>
          <w:rFonts w:eastAsia="宋体"/>
          <w:color w:val="0F1115"/>
          <w:lang w:val="en-US" w:eastAsia="zh-CN"/>
        </w:rPr>
      </w:pPr>
      <w:r w:rsidRPr="00877184">
        <w:rPr>
          <w:rFonts w:eastAsia="宋体"/>
          <w:b/>
          <w:bCs/>
          <w:color w:val="0F1115"/>
          <w:lang w:val="en-US" w:eastAsia="zh-CN"/>
        </w:rPr>
        <w:t>Higher measurement frequency requirements</w:t>
      </w:r>
      <w:r w:rsidRPr="00877184">
        <w:rPr>
          <w:rFonts w:eastAsia="宋体"/>
          <w:color w:val="0F1115"/>
          <w:lang w:val="en-US" w:eastAsia="zh-CN"/>
        </w:rPr>
        <w:t> for advanced mobility scenarios</w:t>
      </w:r>
    </w:p>
    <w:p w14:paraId="743CD970" w14:textId="77777777" w:rsidR="00877184" w:rsidRPr="00877184" w:rsidRDefault="00877184" w:rsidP="00877184">
      <w:pPr>
        <w:numPr>
          <w:ilvl w:val="0"/>
          <w:numId w:val="16"/>
        </w:numPr>
        <w:shd w:val="clear" w:color="auto" w:fill="FFFFFF"/>
        <w:overflowPunct/>
        <w:autoSpaceDE/>
        <w:autoSpaceDN/>
        <w:adjustRightInd/>
        <w:spacing w:before="100" w:beforeAutospacing="1" w:after="0"/>
        <w:rPr>
          <w:rFonts w:eastAsia="宋体"/>
          <w:color w:val="0F1115"/>
          <w:lang w:val="en-US" w:eastAsia="zh-CN"/>
        </w:rPr>
      </w:pPr>
      <w:r w:rsidRPr="00877184">
        <w:rPr>
          <w:rFonts w:eastAsia="宋体"/>
          <w:b/>
          <w:bCs/>
          <w:color w:val="0F1115"/>
          <w:lang w:val="en-US" w:eastAsia="zh-CN"/>
        </w:rPr>
        <w:t>Tighter latency budgets</w:t>
      </w:r>
      <w:r w:rsidRPr="00877184">
        <w:rPr>
          <w:rFonts w:eastAsia="宋体"/>
          <w:color w:val="0F1115"/>
          <w:lang w:val="en-US" w:eastAsia="zh-CN"/>
        </w:rPr>
        <w:t> for emerging use cases like extended reality and tactile internet</w:t>
      </w:r>
    </w:p>
    <w:p w14:paraId="5D6E8CF4"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color w:val="0F1115"/>
          <w:lang w:val="en-US" w:eastAsia="zh-CN"/>
        </w:rPr>
        <w:t>The exhaustive Rx beam sweeping directly drives two core performance limitations that will be severely amplified in 6G:</w:t>
      </w:r>
    </w:p>
    <w:p w14:paraId="752262CD" w14:textId="77777777" w:rsidR="00877184" w:rsidRPr="00877184" w:rsidRDefault="00877184" w:rsidP="00877184">
      <w:pPr>
        <w:numPr>
          <w:ilvl w:val="0"/>
          <w:numId w:val="17"/>
        </w:numPr>
        <w:shd w:val="clear" w:color="auto" w:fill="FFFFFF"/>
        <w:overflowPunct/>
        <w:autoSpaceDE/>
        <w:autoSpaceDN/>
        <w:adjustRightInd/>
        <w:spacing w:before="100" w:beforeAutospacing="1" w:after="0"/>
        <w:rPr>
          <w:rFonts w:eastAsia="宋体"/>
          <w:color w:val="0F1115"/>
          <w:lang w:val="en-US" w:eastAsia="zh-CN"/>
        </w:rPr>
      </w:pPr>
      <w:r w:rsidRPr="00877184">
        <w:rPr>
          <w:rFonts w:eastAsia="宋体"/>
          <w:b/>
          <w:bCs/>
          <w:color w:val="0F1115"/>
          <w:lang w:val="en-US" w:eastAsia="zh-CN"/>
        </w:rPr>
        <w:t>Significantly Increased Measurement Latency</w:t>
      </w:r>
      <w:r w:rsidRPr="00877184">
        <w:rPr>
          <w:rFonts w:eastAsia="宋体"/>
          <w:color w:val="0F1115"/>
          <w:lang w:val="en-US" w:eastAsia="zh-CN"/>
        </w:rPr>
        <w:t>: Sequential sweeping across 16-24 beams (vs. current 8) would increase measurement duration by 2-3x, creating unacceptable delays for time-critical functions including ultra-reliable low-latency communications (URLLC) and advanced multi-connectivity scenarios.</w:t>
      </w:r>
    </w:p>
    <w:p w14:paraId="43353D78" w14:textId="77777777" w:rsidR="00877184" w:rsidRPr="00877184" w:rsidRDefault="00877184" w:rsidP="00877184">
      <w:pPr>
        <w:numPr>
          <w:ilvl w:val="0"/>
          <w:numId w:val="17"/>
        </w:numPr>
        <w:shd w:val="clear" w:color="auto" w:fill="FFFFFF"/>
        <w:overflowPunct/>
        <w:autoSpaceDE/>
        <w:autoSpaceDN/>
        <w:adjustRightInd/>
        <w:spacing w:before="100" w:beforeAutospacing="1" w:after="0"/>
        <w:rPr>
          <w:rFonts w:eastAsia="宋体"/>
          <w:color w:val="0F1115"/>
          <w:lang w:val="en-US" w:eastAsia="zh-CN"/>
        </w:rPr>
      </w:pPr>
      <w:r w:rsidRPr="00877184">
        <w:rPr>
          <w:rFonts w:eastAsia="宋体"/>
          <w:b/>
          <w:bCs/>
          <w:color w:val="0F1115"/>
          <w:lang w:val="en-US" w:eastAsia="zh-CN"/>
        </w:rPr>
        <w:t>Prohibitive UE Power Consumption</w:t>
      </w:r>
      <w:r w:rsidRPr="00877184">
        <w:rPr>
          <w:rFonts w:eastAsia="宋体"/>
          <w:color w:val="0F1115"/>
          <w:lang w:val="en-US" w:eastAsia="zh-CN"/>
        </w:rPr>
        <w:t>: The continuous analog beam switching and signal processing across the expanded beam set would consume proportionally higher RF and baseband power, creating unsustainable power demands for battery-constrained 6G devices.</w:t>
      </w:r>
    </w:p>
    <w:p w14:paraId="6C840D1E"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b/>
          <w:bCs/>
          <w:color w:val="0F1115"/>
          <w:lang w:val="en-US" w:eastAsia="zh-CN"/>
        </w:rPr>
        <w:t>Observation 1</w:t>
      </w:r>
      <w:r w:rsidRPr="00877184">
        <w:rPr>
          <w:rFonts w:eastAsia="宋体"/>
          <w:color w:val="0F1115"/>
          <w:lang w:val="en-US" w:eastAsia="zh-CN"/>
        </w:rPr>
        <w:t xml:space="preserve">: </w:t>
      </w:r>
      <w:r w:rsidRPr="00877184">
        <w:rPr>
          <w:rFonts w:eastAsia="宋体"/>
          <w:b/>
          <w:bCs/>
          <w:color w:val="0F1115"/>
          <w:lang w:val="en-US" w:eastAsia="zh-CN"/>
        </w:rPr>
        <w:t>Current specifications mandate exhaustive Rx beam sweeping (factor N=8) based on wide-beam assumptions that will become obsolete in 6G. The transition to narrow beams for L1/L3 measurement convergence will require 16-24 beams per coverage area, making exhaustive sweeping fundamentally incompatible with 6G's latency and power efficiency requirements.</w:t>
      </w:r>
    </w:p>
    <w:p w14:paraId="77A74BDD" w14:textId="138E6E36" w:rsidR="00687D5D" w:rsidRPr="00A16C68" w:rsidRDefault="00D37B1D" w:rsidP="00D77FC7">
      <w:pPr>
        <w:pStyle w:val="2"/>
        <w:spacing w:beforeLines="50" w:before="156" w:afterLines="50" w:after="156"/>
        <w:rPr>
          <w:rFonts w:ascii="Times New Roman" w:eastAsia="Times New Roman" w:hAnsi="Times New Roman" w:cs="Times New Roman"/>
          <w:b/>
          <w:bCs/>
          <w:color w:val="0F1115"/>
          <w:sz w:val="20"/>
          <w:shd w:val="clear" w:color="auto" w:fill="FFFFFF"/>
          <w:lang w:eastAsia="ko-KR"/>
        </w:rPr>
      </w:pPr>
      <w:r w:rsidRPr="00A16C68">
        <w:rPr>
          <w:rFonts w:ascii="Times New Roman" w:eastAsiaTheme="minorEastAsia" w:hAnsi="Times New Roman" w:cs="Times New Roman"/>
          <w:bCs/>
          <w:sz w:val="28"/>
          <w:szCs w:val="28"/>
        </w:rPr>
        <w:t xml:space="preserve">2.2 </w:t>
      </w:r>
      <w:r w:rsidR="002940E0" w:rsidRPr="00A16C68">
        <w:rPr>
          <w:rFonts w:ascii="Times New Roman" w:eastAsia="Times New Roman" w:hAnsi="Times New Roman" w:cs="Times New Roman"/>
          <w:b/>
          <w:bCs/>
          <w:color w:val="0F1115"/>
          <w:sz w:val="20"/>
          <w:shd w:val="clear" w:color="auto" w:fill="FFFFFF"/>
          <w:lang w:eastAsia="ko-KR"/>
        </w:rPr>
        <w:t>Critical Need for Intelligent Beam Prediction in 6G</w:t>
      </w:r>
    </w:p>
    <w:p w14:paraId="2F4EADF6"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color w:val="0F1115"/>
          <w:lang w:val="en-US" w:eastAsia="zh-CN"/>
        </w:rPr>
        <w:t>The beam count escalation from 8 to 16-24 beams represents not merely a quantitative change but a qualitative transformation that necessitates a fundamental rethinking of beam management architecture. The inefficiencies of exhaustive sweeping become critically prohibitive in this new paradigm, making intelligent beam prediction not just an optimization but a necessity.</w:t>
      </w:r>
    </w:p>
    <w:p w14:paraId="787473F5"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color w:val="0F1115"/>
          <w:lang w:val="en-US" w:eastAsia="zh-CN"/>
        </w:rPr>
        <w:t xml:space="preserve">The strong spatial and temporal correlations inherent in radio propagation environments provide the technical foundation for this transformation. Narrow adjacent beams exhibit even stronger spatial correlation than wide beams, creating ideal conditions for prediction algorithms to infer </w:t>
      </w:r>
      <w:proofErr w:type="spellStart"/>
      <w:r w:rsidRPr="00877184">
        <w:rPr>
          <w:rFonts w:eastAsia="宋体"/>
          <w:color w:val="0F1115"/>
          <w:lang w:val="en-US" w:eastAsia="zh-CN"/>
        </w:rPr>
        <w:t>unswept</w:t>
      </w:r>
      <w:proofErr w:type="spellEnd"/>
      <w:r w:rsidRPr="00877184">
        <w:rPr>
          <w:rFonts w:eastAsia="宋体"/>
          <w:color w:val="0F1115"/>
          <w:lang w:val="en-US" w:eastAsia="zh-CN"/>
        </w:rPr>
        <w:t xml:space="preserve"> beam quality from a carefully selected subset.</w:t>
      </w:r>
    </w:p>
    <w:p w14:paraId="269163AF" w14:textId="77777777" w:rsidR="00877184" w:rsidRPr="00877184" w:rsidRDefault="00877184" w:rsidP="00877184">
      <w:pPr>
        <w:shd w:val="clear" w:color="auto" w:fill="FFFFFF"/>
        <w:overflowPunct/>
        <w:autoSpaceDE/>
        <w:autoSpaceDN/>
        <w:adjustRightInd/>
        <w:spacing w:before="240" w:after="240"/>
        <w:rPr>
          <w:rFonts w:eastAsia="宋体"/>
          <w:color w:val="0F1115"/>
          <w:lang w:val="en-US" w:eastAsia="zh-CN"/>
        </w:rPr>
      </w:pPr>
      <w:r w:rsidRPr="00877184">
        <w:rPr>
          <w:rFonts w:eastAsia="宋体"/>
          <w:color w:val="0F1115"/>
          <w:lang w:val="en-US" w:eastAsia="zh-CN"/>
        </w:rPr>
        <w:t>Advanced AI-based prediction models can leverage these enhanced spatial correlations to enable accurate beam quality prediction from strategic partial measurements. By measuring only 6-8 strategically selected narrow beams instead of all 16-24, the UE can maintain equivalent spatial coverage while reducing sweeping overhead by 60-70%. This approach transforms beam management from a scalability bottleneck to an intelligence-driven efficiency advantage.</w:t>
      </w:r>
    </w:p>
    <w:p w14:paraId="3D6D3810" w14:textId="77777777" w:rsidR="00877184" w:rsidRPr="00877184" w:rsidRDefault="00877184" w:rsidP="00877184">
      <w:pPr>
        <w:shd w:val="clear" w:color="auto" w:fill="FFFFFF"/>
        <w:overflowPunct/>
        <w:autoSpaceDE/>
        <w:autoSpaceDN/>
        <w:adjustRightInd/>
        <w:spacing w:before="240" w:after="100" w:afterAutospacing="1"/>
        <w:rPr>
          <w:rFonts w:eastAsia="宋体"/>
          <w:color w:val="0F1115"/>
          <w:lang w:val="en-US" w:eastAsia="zh-CN"/>
        </w:rPr>
      </w:pPr>
      <w:r w:rsidRPr="00877184">
        <w:rPr>
          <w:rFonts w:eastAsia="宋体"/>
          <w:b/>
          <w:bCs/>
          <w:color w:val="0F1115"/>
          <w:lang w:val="en-US" w:eastAsia="zh-CN"/>
        </w:rPr>
        <w:t>Proposal 1</w:t>
      </w:r>
      <w:r w:rsidRPr="00877184">
        <w:rPr>
          <w:rFonts w:eastAsia="宋体"/>
          <w:color w:val="0F1115"/>
          <w:lang w:val="en-US" w:eastAsia="zh-CN"/>
        </w:rPr>
        <w:t xml:space="preserve">: </w:t>
      </w:r>
      <w:r w:rsidRPr="00877184">
        <w:rPr>
          <w:rFonts w:eastAsia="宋体"/>
          <w:b/>
          <w:bCs/>
          <w:color w:val="0F1115"/>
          <w:lang w:val="en-US" w:eastAsia="zh-CN"/>
        </w:rPr>
        <w:t>It is proposed that RAN4 study AI-based receive beam prediction specifically addressing the narrow-beam sweeping scenario with 16-24 beam configurations, developing performance requirements for prediction accuracy, latency reduction, and power efficiency targets suitable for 6G's expanded beam space.</w:t>
      </w:r>
    </w:p>
    <w:p w14:paraId="01089C19" w14:textId="7AE68004" w:rsidR="00B764AB" w:rsidRPr="00A16C68" w:rsidRDefault="00476021" w:rsidP="00D77FC7">
      <w:pPr>
        <w:pStyle w:val="2"/>
        <w:spacing w:beforeLines="50" w:before="156" w:afterLines="50" w:after="156"/>
        <w:rPr>
          <w:rFonts w:ascii="Times New Roman" w:eastAsiaTheme="minorEastAsia" w:hAnsi="Times New Roman" w:cs="Times New Roman"/>
          <w:bCs/>
          <w:sz w:val="28"/>
          <w:szCs w:val="28"/>
        </w:rPr>
      </w:pPr>
      <w:r w:rsidRPr="00A16C68">
        <w:rPr>
          <w:rFonts w:ascii="Times New Roman" w:eastAsiaTheme="minorEastAsia" w:hAnsi="Times New Roman" w:cs="Times New Roman"/>
          <w:bCs/>
          <w:sz w:val="28"/>
          <w:szCs w:val="28"/>
        </w:rPr>
        <w:t xml:space="preserve">2.3 </w:t>
      </w:r>
      <w:r w:rsidR="00360C5C" w:rsidRPr="00A16C68">
        <w:rPr>
          <w:rFonts w:ascii="Times New Roman" w:eastAsiaTheme="minorEastAsia" w:hAnsi="Times New Roman" w:cs="Times New Roman"/>
          <w:bCs/>
          <w:sz w:val="28"/>
          <w:szCs w:val="28"/>
        </w:rPr>
        <w:t>New Research Direction: AI-driven Cell Measurement Selection</w:t>
      </w:r>
    </w:p>
    <w:p w14:paraId="77CA2232" w14:textId="28BFB7FE" w:rsidR="00FF39B8" w:rsidRPr="00A16C68" w:rsidRDefault="00FF39B8" w:rsidP="00D77FC7">
      <w:pPr>
        <w:spacing w:beforeLines="50" w:before="156" w:afterLines="50" w:after="156"/>
        <w:rPr>
          <w:shd w:val="clear" w:color="auto" w:fill="FFFFFF"/>
        </w:rPr>
      </w:pPr>
      <w:r w:rsidRPr="00A16C68">
        <w:rPr>
          <w:shd w:val="clear" w:color="auto" w:fill="FFFFFF"/>
        </w:rPr>
        <w:lastRenderedPageBreak/>
        <w:t>Beyond receive beam sweeping optimization, another critical RRM inefficiency lies in redundant cell measurements. In current specifications, the UE often needs to measure a large set of cells to ensure mobility robustness, which consumes substantial radio resources and increases measurement latency. To address this, we propose an AI-driven cell measurement selection scheme, inspired by the two-stage approach in 5G beam management.</w:t>
      </w:r>
    </w:p>
    <w:p w14:paraId="6D8CCFBD" w14:textId="77777777" w:rsidR="00FF39B8" w:rsidRPr="00A16C68" w:rsidRDefault="00FF39B8" w:rsidP="00D77FC7">
      <w:pPr>
        <w:pStyle w:val="3"/>
        <w:shd w:val="clear" w:color="auto" w:fill="FFFFFF"/>
        <w:spacing w:beforeLines="50" w:before="156" w:afterLines="50" w:after="156"/>
        <w:rPr>
          <w:rFonts w:ascii="Times New Roman" w:hAnsi="Times New Roman" w:cs="Times New Roman"/>
          <w:color w:val="000000"/>
          <w:sz w:val="24"/>
          <w:szCs w:val="24"/>
          <w:lang w:val="en-US"/>
        </w:rPr>
      </w:pPr>
      <w:r w:rsidRPr="00A16C68">
        <w:rPr>
          <w:rFonts w:ascii="Times New Roman" w:hAnsi="Times New Roman" w:cs="Times New Roman"/>
          <w:color w:val="000000"/>
          <w:sz w:val="24"/>
          <w:szCs w:val="24"/>
        </w:rPr>
        <w:t>2.3.1 Scheme Principle</w:t>
      </w:r>
    </w:p>
    <w:p w14:paraId="4E0A6737" w14:textId="77777777" w:rsidR="00FF39B8" w:rsidRPr="00A16C68" w:rsidRDefault="00FF39B8" w:rsidP="00D77FC7">
      <w:pPr>
        <w:shd w:val="clear" w:color="auto" w:fill="FFFFFF"/>
        <w:spacing w:beforeLines="50" w:before="156" w:afterLines="50" w:after="156"/>
        <w:rPr>
          <w:color w:val="000000"/>
          <w:sz w:val="24"/>
          <w:szCs w:val="24"/>
        </w:rPr>
      </w:pPr>
      <w:r w:rsidRPr="00A16C68">
        <w:rPr>
          <w:color w:val="000000"/>
        </w:rPr>
        <w:t>The core idea is to split cell measurement into two stages, avoiding direct measurement of all cells and reducing redundant overhead. A key technical distinction is that this scheme targets </w:t>
      </w:r>
      <w:r w:rsidRPr="00A16C68">
        <w:t>classification</w:t>
      </w:r>
      <w:r w:rsidRPr="00A16C68">
        <w:rPr>
          <w:color w:val="000000"/>
        </w:rPr>
        <w:t> (predicting cell/beam indexes) rather than </w:t>
      </w:r>
      <w:r w:rsidRPr="00A16C68">
        <w:t>regression</w:t>
      </w:r>
      <w:r w:rsidRPr="00A16C68">
        <w:rPr>
          <w:color w:val="000000"/>
        </w:rPr>
        <w:t> (predicting exact RSRP values), significantly lowering implementation complexity and improving practicality:</w:t>
      </w:r>
    </w:p>
    <w:p w14:paraId="00269601" w14:textId="77777777" w:rsidR="00FF39B8" w:rsidRPr="00A16C68" w:rsidRDefault="00FF39B8" w:rsidP="00D77FC7">
      <w:pPr>
        <w:numPr>
          <w:ilvl w:val="0"/>
          <w:numId w:val="9"/>
        </w:numPr>
        <w:shd w:val="clear" w:color="auto" w:fill="FFFFFF"/>
        <w:overflowPunct/>
        <w:autoSpaceDE/>
        <w:autoSpaceDN/>
        <w:adjustRightInd/>
        <w:spacing w:beforeLines="50" w:before="156" w:afterLines="50" w:after="156"/>
        <w:rPr>
          <w:color w:val="000000"/>
        </w:rPr>
      </w:pPr>
      <w:r w:rsidRPr="00A16C68">
        <w:rPr>
          <w:color w:val="000000"/>
        </w:rPr>
        <w:t>Stage 1: AI-based Cell Index Prediction (Classification Task)</w:t>
      </w:r>
    </w:p>
    <w:p w14:paraId="635562DA" w14:textId="77777777" w:rsidR="00FF39B8" w:rsidRPr="00A16C68" w:rsidRDefault="00FF39B8" w:rsidP="00D77FC7">
      <w:pPr>
        <w:numPr>
          <w:ilvl w:val="0"/>
          <w:numId w:val="10"/>
        </w:numPr>
        <w:shd w:val="clear" w:color="auto" w:fill="FFFFFF"/>
        <w:overflowPunct/>
        <w:autoSpaceDE/>
        <w:autoSpaceDN/>
        <w:adjustRightInd/>
        <w:spacing w:beforeLines="50" w:before="156" w:afterLines="50" w:after="156"/>
        <w:rPr>
          <w:color w:val="000000"/>
        </w:rPr>
      </w:pPr>
      <w:r w:rsidRPr="00A16C68">
        <w:rPr>
          <w:color w:val="000000"/>
        </w:rPr>
        <w:t>Input: RSRP values of a small subset of cells (selected by the network or UE).</w:t>
      </w:r>
    </w:p>
    <w:p w14:paraId="5DBE31C4" w14:textId="77777777" w:rsidR="00FF39B8" w:rsidRPr="00A16C68" w:rsidRDefault="00FF39B8" w:rsidP="00D77FC7">
      <w:pPr>
        <w:numPr>
          <w:ilvl w:val="0"/>
          <w:numId w:val="10"/>
        </w:numPr>
        <w:shd w:val="clear" w:color="auto" w:fill="FFFFFF"/>
        <w:tabs>
          <w:tab w:val="left" w:pos="720"/>
        </w:tabs>
        <w:overflowPunct/>
        <w:autoSpaceDE/>
        <w:autoSpaceDN/>
        <w:adjustRightInd/>
        <w:spacing w:beforeLines="50" w:before="156" w:afterLines="50" w:after="156"/>
        <w:rPr>
          <w:color w:val="000000"/>
        </w:rPr>
      </w:pPr>
      <w:r w:rsidRPr="00A16C68">
        <w:rPr>
          <w:color w:val="000000"/>
        </w:rPr>
        <w:t>Output: Indexes of cells (or corresponding beams) that are predicted to have high signal quality, from a larger set of candidate cells.</w:t>
      </w:r>
    </w:p>
    <w:p w14:paraId="64881BFF" w14:textId="77777777" w:rsidR="00FF39B8" w:rsidRPr="00A16C68" w:rsidRDefault="00FF39B8" w:rsidP="00D77FC7">
      <w:pPr>
        <w:numPr>
          <w:ilvl w:val="1"/>
          <w:numId w:val="10"/>
        </w:numPr>
        <w:shd w:val="clear" w:color="auto" w:fill="FFFFFF"/>
        <w:tabs>
          <w:tab w:val="left" w:pos="720"/>
          <w:tab w:val="left" w:pos="1440"/>
        </w:tabs>
        <w:overflowPunct/>
        <w:autoSpaceDE/>
        <w:autoSpaceDN/>
        <w:adjustRightInd/>
        <w:spacing w:beforeLines="50" w:before="156" w:afterLines="50" w:after="156"/>
        <w:rPr>
          <w:color w:val="000000"/>
        </w:rPr>
      </w:pPr>
      <w:r w:rsidRPr="00A16C68">
        <w:rPr>
          <w:color w:val="000000"/>
        </w:rPr>
        <w:t>Key Logic: During model training, the AI model learns the correlation between signal quality of partial cells and the entire cell set. In practical operation, the UE only measures a small subset of cells, and the AI model infers the "high-quality cell candidates" from the larger set. This is a classification task, as it only identifies the "worthy-to-measure" cell indexes without predicting exact RSRP values.</w:t>
      </w:r>
    </w:p>
    <w:p w14:paraId="54A6DFC6" w14:textId="77777777" w:rsidR="00FF39B8" w:rsidRPr="00A16C68" w:rsidRDefault="00FF39B8" w:rsidP="00D77FC7">
      <w:pPr>
        <w:numPr>
          <w:ilvl w:val="0"/>
          <w:numId w:val="11"/>
        </w:numPr>
        <w:shd w:val="clear" w:color="auto" w:fill="FFFFFF"/>
        <w:overflowPunct/>
        <w:autoSpaceDE/>
        <w:autoSpaceDN/>
        <w:adjustRightInd/>
        <w:spacing w:beforeLines="50" w:before="156" w:afterLines="50" w:after="156"/>
        <w:ind w:left="720" w:hanging="360"/>
        <w:rPr>
          <w:color w:val="000000"/>
        </w:rPr>
      </w:pPr>
      <w:r w:rsidRPr="00A16C68">
        <w:rPr>
          <w:color w:val="000000"/>
        </w:rPr>
        <w:t>Stage 2: Targeted Cell Measurement</w:t>
      </w:r>
    </w:p>
    <w:p w14:paraId="20E39C7A" w14:textId="77777777" w:rsidR="00FF39B8" w:rsidRPr="00A16C68" w:rsidRDefault="00FF39B8" w:rsidP="00D77FC7">
      <w:pPr>
        <w:numPr>
          <w:ilvl w:val="0"/>
          <w:numId w:val="12"/>
        </w:numPr>
        <w:shd w:val="clear" w:color="auto" w:fill="FFFFFF"/>
        <w:tabs>
          <w:tab w:val="left" w:pos="720"/>
        </w:tabs>
        <w:overflowPunct/>
        <w:autoSpaceDE/>
        <w:autoSpaceDN/>
        <w:adjustRightInd/>
        <w:spacing w:beforeLines="50" w:before="156" w:afterLines="50" w:after="156"/>
        <w:rPr>
          <w:color w:val="000000"/>
        </w:rPr>
      </w:pPr>
      <w:r w:rsidRPr="00A16C68">
        <w:rPr>
          <w:color w:val="000000"/>
        </w:rPr>
        <w:t>The network configures the UE to perform formal RRM measurements only on the cells indexed in Stage 1.</w:t>
      </w:r>
    </w:p>
    <w:p w14:paraId="56F6BD39" w14:textId="77777777" w:rsidR="00FF39B8" w:rsidRPr="00A16C68" w:rsidRDefault="00FF39B8" w:rsidP="00D77FC7">
      <w:pPr>
        <w:numPr>
          <w:ilvl w:val="0"/>
          <w:numId w:val="12"/>
        </w:numPr>
        <w:shd w:val="clear" w:color="auto" w:fill="FFFFFF"/>
        <w:overflowPunct/>
        <w:autoSpaceDE/>
        <w:autoSpaceDN/>
        <w:adjustRightInd/>
        <w:spacing w:beforeLines="50" w:before="156" w:afterLines="50" w:after="156"/>
        <w:rPr>
          <w:color w:val="000000"/>
        </w:rPr>
      </w:pPr>
      <w:r w:rsidRPr="00A16C68">
        <w:rPr>
          <w:color w:val="000000"/>
        </w:rPr>
        <w:t>Key Advantage: The number of cells measured in Stage 2 is far smaller than the entire candidate set, significantly reducing measurement times and the number of cells to be measured.</w:t>
      </w:r>
    </w:p>
    <w:p w14:paraId="52C629CB" w14:textId="77777777" w:rsidR="00FF39B8" w:rsidRPr="00A16C68" w:rsidRDefault="00FF39B8" w:rsidP="00D77FC7">
      <w:pPr>
        <w:pStyle w:val="3"/>
        <w:shd w:val="clear" w:color="auto" w:fill="FFFFFF"/>
        <w:spacing w:beforeLines="50" w:before="156" w:afterLines="50" w:after="156"/>
        <w:rPr>
          <w:rFonts w:ascii="Times New Roman" w:hAnsi="Times New Roman" w:cs="Times New Roman"/>
          <w:color w:val="000000"/>
          <w:sz w:val="24"/>
          <w:szCs w:val="24"/>
        </w:rPr>
      </w:pPr>
      <w:r w:rsidRPr="00A16C68">
        <w:rPr>
          <w:rFonts w:ascii="Times New Roman" w:hAnsi="Times New Roman" w:cs="Times New Roman"/>
          <w:color w:val="000000"/>
          <w:sz w:val="24"/>
          <w:szCs w:val="24"/>
        </w:rPr>
        <w:t>2.3.2 Technical Advantage: Classification vs. Regression</w:t>
      </w:r>
    </w:p>
    <w:p w14:paraId="173E34C7" w14:textId="77777777" w:rsidR="00FF39B8" w:rsidRPr="00A16C68" w:rsidRDefault="00FF39B8" w:rsidP="00D77FC7">
      <w:pPr>
        <w:shd w:val="clear" w:color="auto" w:fill="FFFFFF"/>
        <w:spacing w:beforeLines="50" w:before="156" w:afterLines="50" w:after="156"/>
        <w:rPr>
          <w:color w:val="000000"/>
          <w:sz w:val="24"/>
          <w:szCs w:val="24"/>
        </w:rPr>
      </w:pPr>
      <w:r w:rsidRPr="00A16C68">
        <w:rPr>
          <w:color w:val="000000"/>
        </w:rPr>
        <w:t>Predicting exact RSRP values for all cells (a regression task) is technically challenging due to the dynamic nature of radio channels (e.g., fast fading, interference variations), requiring high-precision models and substantial UE computing resources. In contrast, predicting "worthy-to-measure" cell indexes (a classification task) only requires distinguishing between "high-quality" and "low-quality" cells, which is far less complex and more robust to channel fluctuations. This makes the two-stage scheme more feasible for practical UE implementation.</w:t>
      </w:r>
    </w:p>
    <w:p w14:paraId="487B7C93" w14:textId="77777777" w:rsidR="00FF39B8" w:rsidRPr="00A16C68" w:rsidRDefault="00FF39B8" w:rsidP="00D77FC7">
      <w:pPr>
        <w:pStyle w:val="3"/>
        <w:shd w:val="clear" w:color="auto" w:fill="FFFFFF"/>
        <w:spacing w:beforeLines="50" w:before="156" w:afterLines="50" w:after="156"/>
        <w:rPr>
          <w:rFonts w:ascii="Times New Roman" w:hAnsi="Times New Roman" w:cs="Times New Roman"/>
          <w:color w:val="000000"/>
          <w:sz w:val="24"/>
          <w:szCs w:val="24"/>
        </w:rPr>
      </w:pPr>
      <w:r w:rsidRPr="00A16C68">
        <w:rPr>
          <w:rFonts w:ascii="Times New Roman" w:hAnsi="Times New Roman" w:cs="Times New Roman"/>
          <w:color w:val="000000"/>
          <w:sz w:val="24"/>
          <w:szCs w:val="24"/>
        </w:rPr>
        <w:t>2.3.3 Analogy to 5G Two-Stage Beam Management</w:t>
      </w:r>
    </w:p>
    <w:p w14:paraId="4466FBC7" w14:textId="3B390E1A" w:rsidR="00FF39B8" w:rsidRPr="00A16C68" w:rsidRDefault="00FF39B8" w:rsidP="00D77FC7">
      <w:pPr>
        <w:shd w:val="clear" w:color="auto" w:fill="FFFFFF"/>
        <w:spacing w:beforeLines="50" w:before="156" w:afterLines="50" w:after="156"/>
        <w:rPr>
          <w:color w:val="000000"/>
          <w:sz w:val="24"/>
          <w:szCs w:val="24"/>
        </w:rPr>
      </w:pPr>
      <w:r w:rsidRPr="00A16C68">
        <w:rPr>
          <w:color w:val="000000"/>
        </w:rPr>
        <w:t xml:space="preserve">This scheme aligns with the two-stage approach in 5G </w:t>
      </w:r>
      <w:r w:rsidR="009A3A8E" w:rsidRPr="00A16C68">
        <w:rPr>
          <w:color w:val="000000"/>
        </w:rPr>
        <w:t xml:space="preserve">AI </w:t>
      </w:r>
      <w:r w:rsidRPr="00A16C68">
        <w:rPr>
          <w:color w:val="000000"/>
        </w:rPr>
        <w:t>beam management, which optimizes transmit (Tx) beam measurement efficiency:</w:t>
      </w:r>
    </w:p>
    <w:p w14:paraId="3DD5DC1B" w14:textId="77777777" w:rsidR="00FF39B8" w:rsidRPr="00A16C68" w:rsidRDefault="00FF39B8" w:rsidP="00D77FC7">
      <w:pPr>
        <w:numPr>
          <w:ilvl w:val="0"/>
          <w:numId w:val="13"/>
        </w:numPr>
        <w:shd w:val="clear" w:color="auto" w:fill="FFFFFF"/>
        <w:overflowPunct/>
        <w:autoSpaceDE/>
        <w:autoSpaceDN/>
        <w:adjustRightInd/>
        <w:spacing w:beforeLines="50" w:before="156" w:afterLines="50" w:after="156"/>
        <w:rPr>
          <w:color w:val="000000"/>
        </w:rPr>
      </w:pPr>
      <w:r w:rsidRPr="00A16C68">
        <w:rPr>
          <w:color w:val="000000"/>
        </w:rPr>
        <w:lastRenderedPageBreak/>
        <w:t>Stage 1: UE measures a subset of Tx beams and reports the index of the best Tx beam (without reporting exact signal values).</w:t>
      </w:r>
    </w:p>
    <w:p w14:paraId="5069D757" w14:textId="77777777" w:rsidR="00FF39B8" w:rsidRPr="00A16C68" w:rsidRDefault="00FF39B8" w:rsidP="00D77FC7">
      <w:pPr>
        <w:numPr>
          <w:ilvl w:val="0"/>
          <w:numId w:val="13"/>
        </w:numPr>
        <w:shd w:val="clear" w:color="auto" w:fill="FFFFFF"/>
        <w:overflowPunct/>
        <w:autoSpaceDE/>
        <w:autoSpaceDN/>
        <w:adjustRightInd/>
        <w:spacing w:beforeLines="50" w:before="156" w:afterLines="50" w:after="156"/>
        <w:rPr>
          <w:color w:val="000000"/>
        </w:rPr>
      </w:pPr>
      <w:r w:rsidRPr="00A16C68">
        <w:rPr>
          <w:color w:val="000000"/>
        </w:rPr>
        <w:t>Stage 2: Network configures the UE to perform detailed measurements on the reported Tx beam index.</w:t>
      </w:r>
    </w:p>
    <w:p w14:paraId="07771527" w14:textId="77777777" w:rsidR="00FF39B8" w:rsidRPr="00A16C68" w:rsidRDefault="00FF39B8" w:rsidP="00D77FC7">
      <w:pPr>
        <w:shd w:val="clear" w:color="auto" w:fill="FFFFFF"/>
        <w:spacing w:beforeLines="50" w:before="156" w:afterLines="50" w:after="156"/>
        <w:rPr>
          <w:color w:val="000000"/>
        </w:rPr>
      </w:pPr>
      <w:r w:rsidRPr="00A16C68">
        <w:rPr>
          <w:color w:val="000000"/>
        </w:rPr>
        <w:t>By extending this logic to cell measurement selection, we can achieve similar overhead reduction effects for inter-cell RRM procedures.</w:t>
      </w:r>
    </w:p>
    <w:p w14:paraId="7E7325E6" w14:textId="557527F2" w:rsidR="00FF39B8" w:rsidRPr="00A16C68" w:rsidRDefault="00FF39B8" w:rsidP="00D77FC7">
      <w:pPr>
        <w:shd w:val="clear" w:color="auto" w:fill="FFFFFF"/>
        <w:spacing w:beforeLines="50" w:before="156" w:afterLines="50" w:after="156"/>
        <w:rPr>
          <w:b/>
          <w:bCs/>
          <w:color w:val="000000"/>
        </w:rPr>
      </w:pPr>
      <w:r w:rsidRPr="00A16C68">
        <w:rPr>
          <w:b/>
          <w:bCs/>
          <w:color w:val="000000"/>
        </w:rPr>
        <w:t xml:space="preserve">Observation </w:t>
      </w:r>
      <w:r w:rsidR="00E45E42">
        <w:rPr>
          <w:b/>
          <w:bCs/>
          <w:color w:val="000000"/>
        </w:rPr>
        <w:t>2</w:t>
      </w:r>
      <w:r w:rsidRPr="00A16C68">
        <w:rPr>
          <w:b/>
          <w:bCs/>
          <w:color w:val="000000"/>
        </w:rPr>
        <w:t xml:space="preserve"> An AI-driven two-stage cell measurement selection scheme (inspired by 5G </w:t>
      </w:r>
      <w:r w:rsidR="009A3A8E" w:rsidRPr="00A16C68">
        <w:rPr>
          <w:b/>
          <w:bCs/>
          <w:color w:val="000000"/>
        </w:rPr>
        <w:t xml:space="preserve">AI </w:t>
      </w:r>
      <w:r w:rsidRPr="00A16C68">
        <w:rPr>
          <w:b/>
          <w:bCs/>
          <w:color w:val="000000"/>
        </w:rPr>
        <w:t>two-stage beam management) reduces redundant cell measurements by predicting high-quality cell indexes (a classification task), avoiding the complexity of exact RSRP prediction (a regression task) and improving practical feasibility.</w:t>
      </w:r>
    </w:p>
    <w:p w14:paraId="700EAB4B" w14:textId="6325E398" w:rsidR="009A3A8E" w:rsidRPr="00A16C68" w:rsidRDefault="009A3A8E" w:rsidP="00D77FC7">
      <w:pPr>
        <w:shd w:val="clear" w:color="auto" w:fill="FFFFFF"/>
        <w:spacing w:beforeLines="50" w:before="156" w:afterLines="50" w:after="156"/>
        <w:rPr>
          <w:rFonts w:eastAsiaTheme="minorEastAsia"/>
          <w:b/>
          <w:bCs/>
          <w:color w:val="000000"/>
          <w:lang w:eastAsia="zh-CN"/>
        </w:rPr>
      </w:pPr>
      <w:r w:rsidRPr="00A16C68">
        <w:rPr>
          <w:rFonts w:eastAsiaTheme="minorEastAsia"/>
          <w:b/>
          <w:bCs/>
          <w:color w:val="000000"/>
          <w:lang w:eastAsia="zh-CN"/>
        </w:rPr>
        <w:t>Proposal</w:t>
      </w:r>
      <w:r w:rsidR="00D77FC7" w:rsidRPr="00A16C68">
        <w:rPr>
          <w:rFonts w:eastAsiaTheme="minorEastAsia"/>
          <w:b/>
          <w:bCs/>
          <w:color w:val="000000"/>
          <w:lang w:eastAsia="zh-CN"/>
        </w:rPr>
        <w:t xml:space="preserve"> 2: </w:t>
      </w:r>
      <w:r w:rsidR="00E45E42">
        <w:rPr>
          <w:rFonts w:eastAsiaTheme="minorEastAsia"/>
          <w:b/>
          <w:bCs/>
          <w:color w:val="000000"/>
          <w:lang w:eastAsia="zh-CN"/>
        </w:rPr>
        <w:t>RA</w:t>
      </w:r>
      <w:r w:rsidR="00D77FC7" w:rsidRPr="008427DD">
        <w:rPr>
          <w:b/>
          <w:bCs/>
          <w:color w:val="0F1115"/>
          <w:shd w:val="clear" w:color="auto" w:fill="FFFFFF"/>
        </w:rPr>
        <w:t>N4 to study AI-driven cell selection using classification techniques to identify high-quality cells from measured subsets, reducing redundant inter-cell measurements.</w:t>
      </w:r>
    </w:p>
    <w:p w14:paraId="326DF5EF" w14:textId="631ADAC1" w:rsidR="00687D5D" w:rsidRPr="00A16C68" w:rsidRDefault="00D37B1D" w:rsidP="00D77FC7">
      <w:pPr>
        <w:keepNext/>
        <w:keepLines/>
        <w:pBdr>
          <w:top w:val="single" w:sz="12" w:space="3" w:color="auto"/>
        </w:pBdr>
        <w:spacing w:beforeLines="50" w:before="156" w:afterLines="50" w:after="156"/>
        <w:textAlignment w:val="baseline"/>
        <w:outlineLvl w:val="0"/>
        <w:rPr>
          <w:bCs/>
          <w:sz w:val="30"/>
          <w:szCs w:val="30"/>
        </w:rPr>
      </w:pPr>
      <w:r w:rsidRPr="00A16C68">
        <w:rPr>
          <w:bCs/>
          <w:sz w:val="30"/>
          <w:szCs w:val="30"/>
        </w:rPr>
        <w:t>3 Conclusion</w:t>
      </w:r>
    </w:p>
    <w:p w14:paraId="5BAF5EF3" w14:textId="2678BB96" w:rsidR="008427DD" w:rsidRDefault="008427DD" w:rsidP="008427DD">
      <w:pPr>
        <w:shd w:val="clear" w:color="auto" w:fill="FFFFFF"/>
        <w:overflowPunct/>
        <w:autoSpaceDE/>
        <w:autoSpaceDN/>
        <w:adjustRightInd/>
        <w:spacing w:before="240" w:after="240"/>
        <w:rPr>
          <w:rFonts w:eastAsia="宋体"/>
          <w:b/>
          <w:bCs/>
          <w:color w:val="0F1115"/>
          <w:lang w:val="en-US" w:eastAsia="zh-CN"/>
        </w:rPr>
      </w:pPr>
      <w:r w:rsidRPr="00877184">
        <w:rPr>
          <w:rFonts w:eastAsia="宋体"/>
          <w:b/>
          <w:bCs/>
          <w:color w:val="0F1115"/>
          <w:lang w:val="en-US" w:eastAsia="zh-CN"/>
        </w:rPr>
        <w:t>Observation 1</w:t>
      </w:r>
      <w:r w:rsidRPr="00877184">
        <w:rPr>
          <w:rFonts w:eastAsia="宋体"/>
          <w:color w:val="0F1115"/>
          <w:lang w:val="en-US" w:eastAsia="zh-CN"/>
        </w:rPr>
        <w:t xml:space="preserve">: </w:t>
      </w:r>
      <w:r w:rsidRPr="00877184">
        <w:rPr>
          <w:rFonts w:eastAsia="宋体"/>
          <w:b/>
          <w:bCs/>
          <w:color w:val="0F1115"/>
          <w:lang w:val="en-US" w:eastAsia="zh-CN"/>
        </w:rPr>
        <w:t>Current specifications mandate exhaustive Rx beam sweeping (factor N=8) based on wide-beam assumptions that will become obsolete in 6G. The transition to narrow beams for L1/L3 measurement convergence will require 16-24 beams per coverage area, making exhaustive sweeping fundamentally incompatible with 6G's latency and power efficiency requirements.</w:t>
      </w:r>
    </w:p>
    <w:p w14:paraId="10F0692D" w14:textId="77777777" w:rsidR="00E45E42" w:rsidRPr="00877184" w:rsidRDefault="00E45E42" w:rsidP="00E45E42">
      <w:pPr>
        <w:shd w:val="clear" w:color="auto" w:fill="FFFFFF"/>
        <w:overflowPunct/>
        <w:autoSpaceDE/>
        <w:autoSpaceDN/>
        <w:adjustRightInd/>
        <w:spacing w:before="240" w:after="100" w:afterAutospacing="1"/>
        <w:rPr>
          <w:rFonts w:eastAsia="宋体"/>
          <w:color w:val="0F1115"/>
          <w:lang w:val="en-US" w:eastAsia="zh-CN"/>
        </w:rPr>
      </w:pPr>
      <w:r w:rsidRPr="00877184">
        <w:rPr>
          <w:rFonts w:eastAsia="宋体"/>
          <w:b/>
          <w:bCs/>
          <w:color w:val="0F1115"/>
          <w:lang w:val="en-US" w:eastAsia="zh-CN"/>
        </w:rPr>
        <w:t>Proposal 1</w:t>
      </w:r>
      <w:r w:rsidRPr="00877184">
        <w:rPr>
          <w:rFonts w:eastAsia="宋体"/>
          <w:color w:val="0F1115"/>
          <w:lang w:val="en-US" w:eastAsia="zh-CN"/>
        </w:rPr>
        <w:t xml:space="preserve">: </w:t>
      </w:r>
      <w:r w:rsidRPr="00877184">
        <w:rPr>
          <w:rFonts w:eastAsia="宋体"/>
          <w:b/>
          <w:bCs/>
          <w:color w:val="0F1115"/>
          <w:lang w:val="en-US" w:eastAsia="zh-CN"/>
        </w:rPr>
        <w:t>It is proposed that RAN4 study AI-based receive beam prediction specifically addressing the narrow-beam sweeping scenario with 16-24 beam configurations, developing performance requirements for prediction accuracy, latency reduction, and power efficiency targets suitable for 6G's expanded beam space.</w:t>
      </w:r>
    </w:p>
    <w:p w14:paraId="48B8B9AA" w14:textId="77777777" w:rsidR="00E45E42" w:rsidRPr="00A16C68" w:rsidRDefault="00E45E42" w:rsidP="00E45E42">
      <w:pPr>
        <w:shd w:val="clear" w:color="auto" w:fill="FFFFFF"/>
        <w:spacing w:beforeLines="50" w:before="156" w:afterLines="50" w:after="156"/>
        <w:rPr>
          <w:b/>
          <w:bCs/>
          <w:color w:val="000000"/>
        </w:rPr>
      </w:pPr>
      <w:r w:rsidRPr="00A16C68">
        <w:rPr>
          <w:b/>
          <w:bCs/>
          <w:color w:val="000000"/>
        </w:rPr>
        <w:t xml:space="preserve">Observation </w:t>
      </w:r>
      <w:r>
        <w:rPr>
          <w:b/>
          <w:bCs/>
          <w:color w:val="000000"/>
        </w:rPr>
        <w:t>2</w:t>
      </w:r>
      <w:r w:rsidRPr="00A16C68">
        <w:rPr>
          <w:b/>
          <w:bCs/>
          <w:color w:val="000000"/>
        </w:rPr>
        <w:t xml:space="preserve"> An AI-driven two-stage cell measurement selection scheme (inspired by 5G AI two-stage beam management) reduces redundant cell measurements by predicting high-quality cell indexes (a classification task), avoiding the complexity of exact RSRP prediction (a regression task) and improving practical feasibility.</w:t>
      </w:r>
    </w:p>
    <w:p w14:paraId="73F412CD" w14:textId="77777777" w:rsidR="00E45E42" w:rsidRPr="00A16C68" w:rsidRDefault="00E45E42" w:rsidP="00E45E42">
      <w:pPr>
        <w:shd w:val="clear" w:color="auto" w:fill="FFFFFF"/>
        <w:spacing w:beforeLines="50" w:before="156" w:afterLines="50" w:after="156"/>
        <w:rPr>
          <w:rFonts w:eastAsiaTheme="minorEastAsia"/>
          <w:b/>
          <w:bCs/>
          <w:color w:val="000000"/>
          <w:lang w:eastAsia="zh-CN"/>
        </w:rPr>
      </w:pPr>
      <w:r w:rsidRPr="00A16C68">
        <w:rPr>
          <w:rFonts w:eastAsiaTheme="minorEastAsia"/>
          <w:b/>
          <w:bCs/>
          <w:color w:val="000000"/>
          <w:lang w:eastAsia="zh-CN"/>
        </w:rPr>
        <w:t xml:space="preserve">Proposal 2: </w:t>
      </w:r>
      <w:r>
        <w:rPr>
          <w:rFonts w:eastAsiaTheme="minorEastAsia"/>
          <w:b/>
          <w:bCs/>
          <w:color w:val="000000"/>
          <w:lang w:eastAsia="zh-CN"/>
        </w:rPr>
        <w:t>RA</w:t>
      </w:r>
      <w:r w:rsidRPr="008427DD">
        <w:rPr>
          <w:b/>
          <w:bCs/>
          <w:color w:val="0F1115"/>
          <w:shd w:val="clear" w:color="auto" w:fill="FFFFFF"/>
        </w:rPr>
        <w:t>N4 to study AI-driven cell selection using classification techniques to identify high-quality cells from measured subsets, reducing redundant inter-cell measurements.</w:t>
      </w:r>
    </w:p>
    <w:p w14:paraId="00C1413D" w14:textId="77777777" w:rsidR="00E45E42" w:rsidRPr="00877184" w:rsidRDefault="00E45E42" w:rsidP="008427DD">
      <w:pPr>
        <w:shd w:val="clear" w:color="auto" w:fill="FFFFFF"/>
        <w:overflowPunct/>
        <w:autoSpaceDE/>
        <w:autoSpaceDN/>
        <w:adjustRightInd/>
        <w:spacing w:before="240" w:after="240"/>
        <w:rPr>
          <w:rFonts w:eastAsia="宋体"/>
          <w:color w:val="0F1115"/>
          <w:lang w:eastAsia="zh-CN"/>
        </w:rPr>
      </w:pPr>
    </w:p>
    <w:sectPr w:rsidR="00E45E42" w:rsidRPr="008771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3B0F" w14:textId="77777777" w:rsidR="00847BEB" w:rsidRDefault="00847BEB">
      <w:pPr>
        <w:spacing w:after="0"/>
      </w:pPr>
      <w:r>
        <w:separator/>
      </w:r>
    </w:p>
  </w:endnote>
  <w:endnote w:type="continuationSeparator" w:id="0">
    <w:p w14:paraId="08F86226" w14:textId="77777777" w:rsidR="00847BEB" w:rsidRDefault="00847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06D6A" w14:textId="77777777" w:rsidR="00847BEB" w:rsidRDefault="00847BEB">
      <w:pPr>
        <w:spacing w:after="0"/>
      </w:pPr>
      <w:r>
        <w:separator/>
      </w:r>
    </w:p>
  </w:footnote>
  <w:footnote w:type="continuationSeparator" w:id="0">
    <w:p w14:paraId="7BCCA997" w14:textId="77777777" w:rsidR="00847BEB" w:rsidRDefault="00847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419"/>
    <w:multiLevelType w:val="multilevel"/>
    <w:tmpl w:val="088A4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95F2058"/>
    <w:multiLevelType w:val="singleLevel"/>
    <w:tmpl w:val="095F2058"/>
    <w:lvl w:ilvl="0">
      <w:start w:val="1"/>
      <w:numFmt w:val="bullet"/>
      <w:lvlText w:val=""/>
      <w:lvlJc w:val="left"/>
      <w:pPr>
        <w:ind w:left="420" w:hanging="420"/>
      </w:pPr>
      <w:rPr>
        <w:rFonts w:ascii="Wingdings" w:hAnsi="Wingdings" w:hint="default"/>
      </w:rPr>
    </w:lvl>
  </w:abstractNum>
  <w:abstractNum w:abstractNumId="2" w15:restartNumberingAfterBreak="0">
    <w:nsid w:val="0F695EB9"/>
    <w:multiLevelType w:val="multilevel"/>
    <w:tmpl w:val="655A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ED3FF9"/>
    <w:multiLevelType w:val="multilevel"/>
    <w:tmpl w:val="1DED3F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3C7D4605"/>
    <w:multiLevelType w:val="multilevel"/>
    <w:tmpl w:val="3C7D460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D2209B9"/>
    <w:multiLevelType w:val="multilevel"/>
    <w:tmpl w:val="3D2209B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45A5008C"/>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893DA2"/>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084F98"/>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075462"/>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1E68FF"/>
    <w:multiLevelType w:val="multilevel"/>
    <w:tmpl w:val="B66E335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A72D44"/>
    <w:multiLevelType w:val="multilevel"/>
    <w:tmpl w:val="778E008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77C76B08"/>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D436A3"/>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192B18"/>
    <w:multiLevelType w:val="multilevel"/>
    <w:tmpl w:val="B99623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276DB1"/>
    <w:multiLevelType w:val="multilevel"/>
    <w:tmpl w:val="7E276D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5"/>
  </w:num>
  <w:num w:numId="4">
    <w:abstractNumId w:val="0"/>
  </w:num>
  <w:num w:numId="5">
    <w:abstractNumId w:val="4"/>
  </w:num>
  <w:num w:numId="6">
    <w:abstractNumId w:val="16"/>
  </w:num>
  <w:num w:numId="7">
    <w:abstractNumId w:val="1"/>
  </w:num>
  <w:num w:numId="8">
    <w:abstractNumId w:val="6"/>
  </w:num>
  <w:num w:numId="9">
    <w:abstractNumId w:val="13"/>
  </w:num>
  <w:num w:numId="10">
    <w:abstractNumId w:val="10"/>
  </w:num>
  <w:num w:numId="11">
    <w:abstractNumId w:val="15"/>
    <w:lvlOverride w:ilvl="0">
      <w:lvl w:ilvl="0">
        <w:numFmt w:val="decimal"/>
        <w:lvlText w:val="%1."/>
        <w:lvlJc w:val="left"/>
      </w:lvl>
    </w:lvlOverride>
  </w:num>
  <w:num w:numId="12">
    <w:abstractNumId w:val="12"/>
  </w:num>
  <w:num w:numId="13">
    <w:abstractNumId w:val="2"/>
  </w:num>
  <w:num w:numId="14">
    <w:abstractNumId w:val="14"/>
  </w:num>
  <w:num w:numId="15">
    <w:abstractNumId w:val="7"/>
  </w:num>
  <w:num w:numId="16">
    <w:abstractNumId w:val="8"/>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257"/>
    <w:rsid w:val="00005AF8"/>
    <w:rsid w:val="00005BF4"/>
    <w:rsid w:val="00010842"/>
    <w:rsid w:val="00015352"/>
    <w:rsid w:val="0003655B"/>
    <w:rsid w:val="0003714E"/>
    <w:rsid w:val="000575CA"/>
    <w:rsid w:val="000644BA"/>
    <w:rsid w:val="00064DEB"/>
    <w:rsid w:val="00071891"/>
    <w:rsid w:val="00077790"/>
    <w:rsid w:val="00087101"/>
    <w:rsid w:val="00091F92"/>
    <w:rsid w:val="00092257"/>
    <w:rsid w:val="000C623A"/>
    <w:rsid w:val="000D4168"/>
    <w:rsid w:val="000F416F"/>
    <w:rsid w:val="000F4FF3"/>
    <w:rsid w:val="0011674A"/>
    <w:rsid w:val="00134C8D"/>
    <w:rsid w:val="001562E3"/>
    <w:rsid w:val="00163DB2"/>
    <w:rsid w:val="001642B7"/>
    <w:rsid w:val="00165ECD"/>
    <w:rsid w:val="0018068E"/>
    <w:rsid w:val="001A1AA8"/>
    <w:rsid w:val="001A62D9"/>
    <w:rsid w:val="001B503A"/>
    <w:rsid w:val="001C38B3"/>
    <w:rsid w:val="001E6D32"/>
    <w:rsid w:val="001E7F6D"/>
    <w:rsid w:val="001F07CE"/>
    <w:rsid w:val="001F4AC7"/>
    <w:rsid w:val="00201674"/>
    <w:rsid w:val="00223BD4"/>
    <w:rsid w:val="00234C46"/>
    <w:rsid w:val="00235887"/>
    <w:rsid w:val="00236A9E"/>
    <w:rsid w:val="00246429"/>
    <w:rsid w:val="0025264A"/>
    <w:rsid w:val="00265563"/>
    <w:rsid w:val="00276126"/>
    <w:rsid w:val="00281972"/>
    <w:rsid w:val="002843D3"/>
    <w:rsid w:val="00285C1C"/>
    <w:rsid w:val="002929CF"/>
    <w:rsid w:val="002940E0"/>
    <w:rsid w:val="00296756"/>
    <w:rsid w:val="002D0EB1"/>
    <w:rsid w:val="002E6160"/>
    <w:rsid w:val="002F1133"/>
    <w:rsid w:val="002F1584"/>
    <w:rsid w:val="002F57CF"/>
    <w:rsid w:val="00310B4B"/>
    <w:rsid w:val="0031735C"/>
    <w:rsid w:val="003237C2"/>
    <w:rsid w:val="003278AA"/>
    <w:rsid w:val="00334885"/>
    <w:rsid w:val="003353DE"/>
    <w:rsid w:val="0033751F"/>
    <w:rsid w:val="003459CC"/>
    <w:rsid w:val="00351C4D"/>
    <w:rsid w:val="00354424"/>
    <w:rsid w:val="00360C5C"/>
    <w:rsid w:val="00371CDE"/>
    <w:rsid w:val="003A401A"/>
    <w:rsid w:val="003C606A"/>
    <w:rsid w:val="003D2463"/>
    <w:rsid w:val="004107DA"/>
    <w:rsid w:val="00412858"/>
    <w:rsid w:val="00414FB4"/>
    <w:rsid w:val="004246DA"/>
    <w:rsid w:val="004247B0"/>
    <w:rsid w:val="00430A6E"/>
    <w:rsid w:val="00435289"/>
    <w:rsid w:val="0044139C"/>
    <w:rsid w:val="00476021"/>
    <w:rsid w:val="00476C55"/>
    <w:rsid w:val="0048143F"/>
    <w:rsid w:val="004819BC"/>
    <w:rsid w:val="00482DFD"/>
    <w:rsid w:val="004879BF"/>
    <w:rsid w:val="00493D17"/>
    <w:rsid w:val="004A1550"/>
    <w:rsid w:val="004C1F1C"/>
    <w:rsid w:val="004C50BF"/>
    <w:rsid w:val="004D7931"/>
    <w:rsid w:val="004E5C56"/>
    <w:rsid w:val="004F4B6F"/>
    <w:rsid w:val="004F68A1"/>
    <w:rsid w:val="00500CD8"/>
    <w:rsid w:val="00511393"/>
    <w:rsid w:val="005363FA"/>
    <w:rsid w:val="005402AE"/>
    <w:rsid w:val="00540ED1"/>
    <w:rsid w:val="00542E61"/>
    <w:rsid w:val="00582874"/>
    <w:rsid w:val="005C019E"/>
    <w:rsid w:val="005C144A"/>
    <w:rsid w:val="005D14FD"/>
    <w:rsid w:val="005D169A"/>
    <w:rsid w:val="006008CF"/>
    <w:rsid w:val="006369C7"/>
    <w:rsid w:val="00645B33"/>
    <w:rsid w:val="00652BDC"/>
    <w:rsid w:val="00655220"/>
    <w:rsid w:val="00661C84"/>
    <w:rsid w:val="00662C20"/>
    <w:rsid w:val="00687D5D"/>
    <w:rsid w:val="00692672"/>
    <w:rsid w:val="0069747B"/>
    <w:rsid w:val="006A2247"/>
    <w:rsid w:val="006A2F25"/>
    <w:rsid w:val="006A6C95"/>
    <w:rsid w:val="006B0FE2"/>
    <w:rsid w:val="006C094D"/>
    <w:rsid w:val="006D1253"/>
    <w:rsid w:val="006D13F9"/>
    <w:rsid w:val="006E5ACC"/>
    <w:rsid w:val="006E633F"/>
    <w:rsid w:val="006F37B0"/>
    <w:rsid w:val="0070007E"/>
    <w:rsid w:val="00701CEF"/>
    <w:rsid w:val="00711F10"/>
    <w:rsid w:val="0071329C"/>
    <w:rsid w:val="00722F00"/>
    <w:rsid w:val="0074438D"/>
    <w:rsid w:val="00751DDC"/>
    <w:rsid w:val="00753C84"/>
    <w:rsid w:val="0076185D"/>
    <w:rsid w:val="007665D0"/>
    <w:rsid w:val="00775FF0"/>
    <w:rsid w:val="007A4FF3"/>
    <w:rsid w:val="007B22B1"/>
    <w:rsid w:val="007B428B"/>
    <w:rsid w:val="007E5DCA"/>
    <w:rsid w:val="007F5A25"/>
    <w:rsid w:val="00816A6E"/>
    <w:rsid w:val="008313EF"/>
    <w:rsid w:val="00832C8F"/>
    <w:rsid w:val="00833C75"/>
    <w:rsid w:val="008341B3"/>
    <w:rsid w:val="008427DD"/>
    <w:rsid w:val="00847BEB"/>
    <w:rsid w:val="0085109F"/>
    <w:rsid w:val="00853416"/>
    <w:rsid w:val="00853E33"/>
    <w:rsid w:val="008665FF"/>
    <w:rsid w:val="00877184"/>
    <w:rsid w:val="00880CB5"/>
    <w:rsid w:val="008838C6"/>
    <w:rsid w:val="008A4EF2"/>
    <w:rsid w:val="008B22EC"/>
    <w:rsid w:val="008C4A07"/>
    <w:rsid w:val="008C51A0"/>
    <w:rsid w:val="008D4555"/>
    <w:rsid w:val="008E55F8"/>
    <w:rsid w:val="009029B6"/>
    <w:rsid w:val="00910354"/>
    <w:rsid w:val="00913E95"/>
    <w:rsid w:val="0091474E"/>
    <w:rsid w:val="009154F7"/>
    <w:rsid w:val="00915C7E"/>
    <w:rsid w:val="0092281B"/>
    <w:rsid w:val="009348B5"/>
    <w:rsid w:val="00951304"/>
    <w:rsid w:val="009561FC"/>
    <w:rsid w:val="00980F1B"/>
    <w:rsid w:val="0098183F"/>
    <w:rsid w:val="00985EDF"/>
    <w:rsid w:val="009A3A8E"/>
    <w:rsid w:val="009B66F7"/>
    <w:rsid w:val="009D24AC"/>
    <w:rsid w:val="009D4AD4"/>
    <w:rsid w:val="009D672B"/>
    <w:rsid w:val="009E7609"/>
    <w:rsid w:val="00A01179"/>
    <w:rsid w:val="00A16C68"/>
    <w:rsid w:val="00A26379"/>
    <w:rsid w:val="00A27B3B"/>
    <w:rsid w:val="00A34323"/>
    <w:rsid w:val="00A46932"/>
    <w:rsid w:val="00A54555"/>
    <w:rsid w:val="00A84F59"/>
    <w:rsid w:val="00AB2733"/>
    <w:rsid w:val="00AB4809"/>
    <w:rsid w:val="00AC0179"/>
    <w:rsid w:val="00AC270E"/>
    <w:rsid w:val="00B1070B"/>
    <w:rsid w:val="00B32F80"/>
    <w:rsid w:val="00B52180"/>
    <w:rsid w:val="00B62BC4"/>
    <w:rsid w:val="00B750FF"/>
    <w:rsid w:val="00B764AB"/>
    <w:rsid w:val="00B813B4"/>
    <w:rsid w:val="00B97281"/>
    <w:rsid w:val="00BB6E0F"/>
    <w:rsid w:val="00BC4259"/>
    <w:rsid w:val="00BD1344"/>
    <w:rsid w:val="00BD40A5"/>
    <w:rsid w:val="00BD538C"/>
    <w:rsid w:val="00BD66A9"/>
    <w:rsid w:val="00C14B1B"/>
    <w:rsid w:val="00C2535C"/>
    <w:rsid w:val="00C25C47"/>
    <w:rsid w:val="00C31434"/>
    <w:rsid w:val="00C3551D"/>
    <w:rsid w:val="00C50FE6"/>
    <w:rsid w:val="00C615D0"/>
    <w:rsid w:val="00C62865"/>
    <w:rsid w:val="00C62FC9"/>
    <w:rsid w:val="00C65735"/>
    <w:rsid w:val="00C709EC"/>
    <w:rsid w:val="00C74BE9"/>
    <w:rsid w:val="00C95876"/>
    <w:rsid w:val="00CA21CC"/>
    <w:rsid w:val="00CA586F"/>
    <w:rsid w:val="00CD458A"/>
    <w:rsid w:val="00CF081C"/>
    <w:rsid w:val="00CF7209"/>
    <w:rsid w:val="00D0597A"/>
    <w:rsid w:val="00D13FF0"/>
    <w:rsid w:val="00D25FE5"/>
    <w:rsid w:val="00D36FF6"/>
    <w:rsid w:val="00D37B1D"/>
    <w:rsid w:val="00D6393A"/>
    <w:rsid w:val="00D715B6"/>
    <w:rsid w:val="00D730E8"/>
    <w:rsid w:val="00D73B0B"/>
    <w:rsid w:val="00D774E6"/>
    <w:rsid w:val="00D77FC7"/>
    <w:rsid w:val="00D84049"/>
    <w:rsid w:val="00D85E6F"/>
    <w:rsid w:val="00DA1243"/>
    <w:rsid w:val="00DA1AD9"/>
    <w:rsid w:val="00DA48A5"/>
    <w:rsid w:val="00DA7FC9"/>
    <w:rsid w:val="00DB250D"/>
    <w:rsid w:val="00DB4992"/>
    <w:rsid w:val="00DC09DB"/>
    <w:rsid w:val="00DC41C8"/>
    <w:rsid w:val="00DD0C22"/>
    <w:rsid w:val="00DE0AAE"/>
    <w:rsid w:val="00E06897"/>
    <w:rsid w:val="00E12F46"/>
    <w:rsid w:val="00E1587B"/>
    <w:rsid w:val="00E169C5"/>
    <w:rsid w:val="00E45E42"/>
    <w:rsid w:val="00E55A62"/>
    <w:rsid w:val="00E62E46"/>
    <w:rsid w:val="00E7492D"/>
    <w:rsid w:val="00E90C7A"/>
    <w:rsid w:val="00EB1283"/>
    <w:rsid w:val="00ED226F"/>
    <w:rsid w:val="00EE65CB"/>
    <w:rsid w:val="00EF7EAE"/>
    <w:rsid w:val="00F0164B"/>
    <w:rsid w:val="00F019AE"/>
    <w:rsid w:val="00F07774"/>
    <w:rsid w:val="00F25907"/>
    <w:rsid w:val="00F373F7"/>
    <w:rsid w:val="00F409AA"/>
    <w:rsid w:val="00F56856"/>
    <w:rsid w:val="00F67C97"/>
    <w:rsid w:val="00F74A9E"/>
    <w:rsid w:val="00F76801"/>
    <w:rsid w:val="00F87CC4"/>
    <w:rsid w:val="00F91819"/>
    <w:rsid w:val="00F91EDA"/>
    <w:rsid w:val="00F979CC"/>
    <w:rsid w:val="00FB2CCE"/>
    <w:rsid w:val="00FE10D9"/>
    <w:rsid w:val="00FE7CC4"/>
    <w:rsid w:val="00FF39B8"/>
    <w:rsid w:val="00FF5082"/>
    <w:rsid w:val="3761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0BE45"/>
  <w15:docId w15:val="{32AED47F-79CB-4154-8B53-5B82FBDA5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eastAsia="Times New Roman"/>
      <w:lang w:val="en-GB" w:eastAsia="ko-KR"/>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next w:val="a"/>
    <w:link w:val="20"/>
    <w:qFormat/>
    <w:pPr>
      <w:suppressAutoHyphens/>
      <w:spacing w:before="280" w:after="100"/>
      <w:outlineLvl w:val="1"/>
    </w:pPr>
    <w:rPr>
      <w:rFonts w:ascii="Arial" w:eastAsia="Arial" w:hAnsi="Arial" w:cs="Arial"/>
      <w:sz w:val="32"/>
      <w:lang w:val="en-GB"/>
    </w:rPr>
  </w:style>
  <w:style w:type="paragraph" w:styleId="3">
    <w:name w:val="heading 3"/>
    <w:basedOn w:val="2"/>
    <w:next w:val="a"/>
    <w:link w:val="30"/>
    <w:uiPriority w:val="9"/>
    <w:qFormat/>
    <w:pPr>
      <w:spacing w:before="120"/>
      <w:outlineLvl w:val="2"/>
    </w:pPr>
    <w:rPr>
      <w:sz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Pr>
      <w:rFonts w:ascii="Times New Roman" w:hAnsi="Times New Roman" w:cs="Times New Roman" w:hint="default"/>
      <w:b/>
      <w:bCs/>
    </w:rPr>
  </w:style>
  <w:style w:type="character" w:styleId="aa">
    <w:name w:val="Emphasis"/>
    <w:basedOn w:val="a0"/>
    <w:uiPriority w:val="20"/>
    <w:qFormat/>
    <w:rPr>
      <w:i/>
      <w:iCs/>
    </w:rPr>
  </w:style>
  <w:style w:type="character" w:styleId="HTML">
    <w:name w:val="HTML Code"/>
    <w:basedOn w:val="a0"/>
    <w:uiPriority w:val="99"/>
    <w:semiHidden/>
    <w:unhideWhenUsed/>
    <w:qFormat/>
    <w:rPr>
      <w:rFonts w:ascii="宋体" w:eastAsia="宋体" w:hAnsi="宋体" w:cs="宋体"/>
      <w:sz w:val="24"/>
      <w:szCs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20">
    <w:name w:val="标题 2 字符"/>
    <w:basedOn w:val="a0"/>
    <w:link w:val="2"/>
    <w:qFormat/>
    <w:rPr>
      <w:rFonts w:ascii="Arial" w:eastAsia="Arial" w:hAnsi="Arial" w:cs="Arial"/>
      <w:kern w:val="0"/>
      <w:sz w:val="32"/>
      <w:szCs w:val="20"/>
      <w:lang w:val="en-GB"/>
    </w:rPr>
  </w:style>
  <w:style w:type="character" w:customStyle="1" w:styleId="50">
    <w:name w:val="标题 5 字符"/>
    <w:basedOn w:val="a0"/>
    <w:link w:val="5"/>
    <w:qFormat/>
    <w:rPr>
      <w:rFonts w:asciiTheme="majorHAnsi" w:eastAsiaTheme="majorEastAsia" w:hAnsiTheme="majorHAnsi" w:cstheme="majorBidi"/>
      <w:color w:val="2F5496" w:themeColor="accent1" w:themeShade="BF"/>
      <w:kern w:val="0"/>
      <w:sz w:val="24"/>
      <w:szCs w:val="24"/>
    </w:rPr>
  </w:style>
  <w:style w:type="paragraph" w:styleId="ab">
    <w:name w:val="List Paragraph"/>
    <w:basedOn w:val="a"/>
    <w:link w:val="ac"/>
    <w:uiPriority w:val="34"/>
    <w:qFormat/>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c">
    <w:name w:val="列表段落 字符"/>
    <w:link w:val="ab"/>
    <w:uiPriority w:val="34"/>
    <w:qFormat/>
    <w:locked/>
    <w:rPr>
      <w:rFonts w:ascii="宋体" w:eastAsia="宋体" w:hAnsi="宋体" w:cs="宋体"/>
      <w:kern w:val="0"/>
      <w:sz w:val="24"/>
      <w:szCs w:val="24"/>
    </w:rPr>
  </w:style>
  <w:style w:type="character" w:customStyle="1" w:styleId="a6">
    <w:name w:val="页眉 字符"/>
    <w:basedOn w:val="a0"/>
    <w:link w:val="a5"/>
    <w:uiPriority w:val="99"/>
    <w:qFormat/>
    <w:rPr>
      <w:rFonts w:ascii="Times New Roman" w:eastAsia="Times New Roman" w:hAnsi="Times New Roman" w:cs="Times New Roman"/>
      <w:kern w:val="0"/>
      <w:sz w:val="18"/>
      <w:szCs w:val="18"/>
      <w:lang w:val="en-GB" w:eastAsia="ko-KR"/>
    </w:rPr>
  </w:style>
  <w:style w:type="character" w:customStyle="1" w:styleId="a4">
    <w:name w:val="页脚 字符"/>
    <w:basedOn w:val="a0"/>
    <w:link w:val="a3"/>
    <w:uiPriority w:val="99"/>
    <w:qFormat/>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qFormat/>
    <w:rPr>
      <w:rFonts w:asciiTheme="majorHAnsi" w:eastAsiaTheme="majorEastAsia" w:hAnsiTheme="majorHAnsi" w:cstheme="majorBidi"/>
      <w:b/>
      <w:bCs/>
      <w:kern w:val="0"/>
      <w:sz w:val="28"/>
      <w:szCs w:val="28"/>
      <w:lang w:val="en-GB" w:eastAsia="ko-KR"/>
    </w:rPr>
  </w:style>
  <w:style w:type="character" w:customStyle="1" w:styleId="30">
    <w:name w:val="标题 3 字符"/>
    <w:basedOn w:val="a0"/>
    <w:link w:val="3"/>
    <w:uiPriority w:val="9"/>
    <w:qFormat/>
    <w:rPr>
      <w:rFonts w:ascii="Arial" w:eastAsia="Arial" w:hAnsi="Arial" w:cs="Arial"/>
      <w:kern w:val="0"/>
      <w:sz w:val="28"/>
      <w:szCs w:val="20"/>
      <w:lang w:val="en-GB"/>
    </w:rPr>
  </w:style>
  <w:style w:type="paragraph" w:customStyle="1" w:styleId="Doc-text2">
    <w:name w:val="Doc-text2"/>
    <w:basedOn w:val="a"/>
    <w:link w:val="Doc-text2Char"/>
    <w:qFormat/>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pPr>
      <w:numPr>
        <w:numId w:val="1"/>
      </w:numPr>
      <w:tabs>
        <w:tab w:val="left" w:pos="1619"/>
      </w:tabs>
      <w:spacing w:before="60" w:after="0"/>
      <w:ind w:left="1616" w:hanging="357"/>
      <w:textAlignment w:val="baseline"/>
    </w:pPr>
    <w:rPr>
      <w:rFonts w:ascii="Arial" w:hAnsi="Arial"/>
      <w:b/>
      <w:lang w:eastAsia="ja-JP"/>
    </w:rPr>
  </w:style>
  <w:style w:type="character" w:customStyle="1" w:styleId="10">
    <w:name w:val="标题 1 字符"/>
    <w:basedOn w:val="a0"/>
    <w:link w:val="1"/>
    <w:uiPriority w:val="9"/>
    <w:qFormat/>
    <w:rPr>
      <w:rFonts w:ascii="Times New Roman" w:eastAsia="Times New Roman" w:hAnsi="Times New Roman" w:cs="Times New Roman"/>
      <w:b/>
      <w:bCs/>
      <w:kern w:val="44"/>
      <w:sz w:val="44"/>
      <w:szCs w:val="44"/>
      <w:lang w:val="en-GB" w:eastAsia="ko-KR"/>
    </w:rPr>
  </w:style>
  <w:style w:type="paragraph" w:customStyle="1" w:styleId="TH">
    <w:name w:val="TH"/>
    <w:basedOn w:val="a"/>
    <w:link w:val="THChar"/>
    <w:qFormat/>
    <w:pPr>
      <w:keepNext/>
      <w:keepLines/>
      <w:spacing w:before="60"/>
      <w:jc w:val="center"/>
      <w:textAlignment w:val="baseline"/>
    </w:pPr>
    <w:rPr>
      <w:rFonts w:ascii="Arial"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jc w:val="center"/>
      <w:textAlignment w:val="baseline"/>
    </w:pPr>
    <w:rPr>
      <w:rFonts w:ascii="Arial" w:hAnsi="Arial"/>
      <w:sz w:val="18"/>
      <w:lang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keepLines/>
      <w:spacing w:after="0"/>
      <w:ind w:left="851" w:hanging="851"/>
      <w:textAlignment w:val="baseline"/>
    </w:pPr>
    <w:rPr>
      <w:rFonts w:ascii="Arial" w:hAnsi="Arial"/>
      <w:sz w:val="18"/>
      <w:lang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ad">
    <w:name w:val="缺省文本"/>
    <w:basedOn w:val="a"/>
    <w:qFormat/>
    <w:pPr>
      <w:widowControl w:val="0"/>
      <w:overflowPunct/>
      <w:spacing w:after="0" w:line="360" w:lineRule="auto"/>
    </w:pPr>
    <w:rPr>
      <w:rFonts w:eastAsia="宋体"/>
      <w:sz w:val="21"/>
      <w:lang w:val="en-US" w:eastAsia="zh-CN"/>
    </w:rPr>
  </w:style>
  <w:style w:type="paragraph" w:customStyle="1" w:styleId="ds-markdown-paragraph">
    <w:name w:val="ds-markdown-paragraph"/>
    <w:basedOn w:val="a"/>
    <w:rsid w:val="00B764AB"/>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0981">
      <w:bodyDiv w:val="1"/>
      <w:marLeft w:val="0"/>
      <w:marRight w:val="0"/>
      <w:marTop w:val="0"/>
      <w:marBottom w:val="0"/>
      <w:divBdr>
        <w:top w:val="none" w:sz="0" w:space="0" w:color="auto"/>
        <w:left w:val="none" w:sz="0" w:space="0" w:color="auto"/>
        <w:bottom w:val="none" w:sz="0" w:space="0" w:color="auto"/>
        <w:right w:val="none" w:sz="0" w:space="0" w:color="auto"/>
      </w:divBdr>
    </w:div>
    <w:div w:id="330791377">
      <w:bodyDiv w:val="1"/>
      <w:marLeft w:val="0"/>
      <w:marRight w:val="0"/>
      <w:marTop w:val="0"/>
      <w:marBottom w:val="0"/>
      <w:divBdr>
        <w:top w:val="none" w:sz="0" w:space="0" w:color="auto"/>
        <w:left w:val="none" w:sz="0" w:space="0" w:color="auto"/>
        <w:bottom w:val="none" w:sz="0" w:space="0" w:color="auto"/>
        <w:right w:val="none" w:sz="0" w:space="0" w:color="auto"/>
      </w:divBdr>
      <w:divsChild>
        <w:div w:id="1076511415">
          <w:marLeft w:val="0"/>
          <w:marRight w:val="0"/>
          <w:marTop w:val="0"/>
          <w:marBottom w:val="0"/>
          <w:divBdr>
            <w:top w:val="single" w:sz="2" w:space="0" w:color="auto"/>
            <w:left w:val="single" w:sz="2" w:space="0" w:color="auto"/>
            <w:bottom w:val="single" w:sz="2" w:space="0" w:color="auto"/>
            <w:right w:val="single" w:sz="2" w:space="0" w:color="auto"/>
          </w:divBdr>
        </w:div>
        <w:div w:id="1041321349">
          <w:marLeft w:val="0"/>
          <w:marRight w:val="0"/>
          <w:marTop w:val="0"/>
          <w:marBottom w:val="0"/>
          <w:divBdr>
            <w:top w:val="single" w:sz="2" w:space="0" w:color="auto"/>
            <w:left w:val="single" w:sz="2" w:space="0" w:color="auto"/>
            <w:bottom w:val="single" w:sz="2" w:space="0" w:color="auto"/>
            <w:right w:val="single" w:sz="2" w:space="0" w:color="auto"/>
          </w:divBdr>
        </w:div>
        <w:div w:id="286203326">
          <w:marLeft w:val="0"/>
          <w:marRight w:val="0"/>
          <w:marTop w:val="0"/>
          <w:marBottom w:val="0"/>
          <w:divBdr>
            <w:top w:val="single" w:sz="2" w:space="0" w:color="auto"/>
            <w:left w:val="single" w:sz="2" w:space="0" w:color="auto"/>
            <w:bottom w:val="single" w:sz="2" w:space="0" w:color="auto"/>
            <w:right w:val="single" w:sz="2" w:space="0" w:color="auto"/>
          </w:divBdr>
        </w:div>
        <w:div w:id="538200659">
          <w:marLeft w:val="0"/>
          <w:marRight w:val="0"/>
          <w:marTop w:val="0"/>
          <w:marBottom w:val="0"/>
          <w:divBdr>
            <w:top w:val="single" w:sz="2" w:space="0" w:color="auto"/>
            <w:left w:val="single" w:sz="2" w:space="0" w:color="auto"/>
            <w:bottom w:val="single" w:sz="2" w:space="0" w:color="auto"/>
            <w:right w:val="single" w:sz="2" w:space="0" w:color="auto"/>
          </w:divBdr>
        </w:div>
        <w:div w:id="2103985454">
          <w:marLeft w:val="0"/>
          <w:marRight w:val="0"/>
          <w:marTop w:val="0"/>
          <w:marBottom w:val="0"/>
          <w:divBdr>
            <w:top w:val="single" w:sz="2" w:space="0" w:color="auto"/>
            <w:left w:val="single" w:sz="2" w:space="0" w:color="auto"/>
            <w:bottom w:val="single" w:sz="2" w:space="0" w:color="auto"/>
            <w:right w:val="single" w:sz="2" w:space="0" w:color="auto"/>
          </w:divBdr>
        </w:div>
        <w:div w:id="110057149">
          <w:marLeft w:val="0"/>
          <w:marRight w:val="0"/>
          <w:marTop w:val="0"/>
          <w:marBottom w:val="0"/>
          <w:divBdr>
            <w:top w:val="single" w:sz="2" w:space="0" w:color="auto"/>
            <w:left w:val="single" w:sz="2" w:space="0" w:color="auto"/>
            <w:bottom w:val="single" w:sz="2" w:space="0" w:color="auto"/>
            <w:right w:val="single" w:sz="2" w:space="0" w:color="auto"/>
          </w:divBdr>
        </w:div>
        <w:div w:id="1045251449">
          <w:marLeft w:val="0"/>
          <w:marRight w:val="0"/>
          <w:marTop w:val="0"/>
          <w:marBottom w:val="0"/>
          <w:divBdr>
            <w:top w:val="single" w:sz="2" w:space="0" w:color="auto"/>
            <w:left w:val="single" w:sz="2" w:space="0" w:color="auto"/>
            <w:bottom w:val="single" w:sz="2" w:space="0" w:color="auto"/>
            <w:right w:val="single" w:sz="2" w:space="0" w:color="auto"/>
          </w:divBdr>
        </w:div>
        <w:div w:id="1412462252">
          <w:marLeft w:val="0"/>
          <w:marRight w:val="0"/>
          <w:marTop w:val="0"/>
          <w:marBottom w:val="0"/>
          <w:divBdr>
            <w:top w:val="single" w:sz="2" w:space="0" w:color="auto"/>
            <w:left w:val="single" w:sz="2" w:space="0" w:color="auto"/>
            <w:bottom w:val="single" w:sz="2" w:space="0" w:color="auto"/>
            <w:right w:val="single" w:sz="2" w:space="0" w:color="auto"/>
          </w:divBdr>
        </w:div>
        <w:div w:id="1625967271">
          <w:marLeft w:val="0"/>
          <w:marRight w:val="0"/>
          <w:marTop w:val="0"/>
          <w:marBottom w:val="0"/>
          <w:divBdr>
            <w:top w:val="single" w:sz="2" w:space="0" w:color="auto"/>
            <w:left w:val="single" w:sz="2" w:space="0" w:color="auto"/>
            <w:bottom w:val="single" w:sz="2" w:space="0" w:color="auto"/>
            <w:right w:val="single" w:sz="2" w:space="0" w:color="auto"/>
          </w:divBdr>
        </w:div>
      </w:divsChild>
    </w:div>
    <w:div w:id="350224443">
      <w:bodyDiv w:val="1"/>
      <w:marLeft w:val="0"/>
      <w:marRight w:val="0"/>
      <w:marTop w:val="0"/>
      <w:marBottom w:val="0"/>
      <w:divBdr>
        <w:top w:val="none" w:sz="0" w:space="0" w:color="auto"/>
        <w:left w:val="none" w:sz="0" w:space="0" w:color="auto"/>
        <w:bottom w:val="none" w:sz="0" w:space="0" w:color="auto"/>
        <w:right w:val="none" w:sz="0" w:space="0" w:color="auto"/>
      </w:divBdr>
      <w:divsChild>
        <w:div w:id="154801568">
          <w:marLeft w:val="0"/>
          <w:marRight w:val="0"/>
          <w:marTop w:val="0"/>
          <w:marBottom w:val="0"/>
          <w:divBdr>
            <w:top w:val="single" w:sz="2" w:space="0" w:color="auto"/>
            <w:left w:val="single" w:sz="2" w:space="0" w:color="auto"/>
            <w:bottom w:val="single" w:sz="2" w:space="0" w:color="auto"/>
            <w:right w:val="single" w:sz="2" w:space="0" w:color="auto"/>
          </w:divBdr>
        </w:div>
        <w:div w:id="969629045">
          <w:marLeft w:val="0"/>
          <w:marRight w:val="0"/>
          <w:marTop w:val="0"/>
          <w:marBottom w:val="0"/>
          <w:divBdr>
            <w:top w:val="single" w:sz="2" w:space="0" w:color="auto"/>
            <w:left w:val="single" w:sz="2" w:space="0" w:color="auto"/>
            <w:bottom w:val="single" w:sz="2" w:space="0" w:color="auto"/>
            <w:right w:val="single" w:sz="2" w:space="0" w:color="auto"/>
          </w:divBdr>
        </w:div>
        <w:div w:id="1790197378">
          <w:marLeft w:val="0"/>
          <w:marRight w:val="0"/>
          <w:marTop w:val="0"/>
          <w:marBottom w:val="0"/>
          <w:divBdr>
            <w:top w:val="single" w:sz="2" w:space="0" w:color="auto"/>
            <w:left w:val="single" w:sz="2" w:space="0" w:color="auto"/>
            <w:bottom w:val="single" w:sz="2" w:space="0" w:color="auto"/>
            <w:right w:val="single" w:sz="2" w:space="0" w:color="auto"/>
          </w:divBdr>
        </w:div>
      </w:divsChild>
    </w:div>
    <w:div w:id="600800658">
      <w:bodyDiv w:val="1"/>
      <w:marLeft w:val="0"/>
      <w:marRight w:val="0"/>
      <w:marTop w:val="0"/>
      <w:marBottom w:val="0"/>
      <w:divBdr>
        <w:top w:val="none" w:sz="0" w:space="0" w:color="auto"/>
        <w:left w:val="none" w:sz="0" w:space="0" w:color="auto"/>
        <w:bottom w:val="none" w:sz="0" w:space="0" w:color="auto"/>
        <w:right w:val="none" w:sz="0" w:space="0" w:color="auto"/>
      </w:divBdr>
    </w:div>
    <w:div w:id="616644098">
      <w:bodyDiv w:val="1"/>
      <w:marLeft w:val="0"/>
      <w:marRight w:val="0"/>
      <w:marTop w:val="0"/>
      <w:marBottom w:val="0"/>
      <w:divBdr>
        <w:top w:val="none" w:sz="0" w:space="0" w:color="auto"/>
        <w:left w:val="none" w:sz="0" w:space="0" w:color="auto"/>
        <w:bottom w:val="none" w:sz="0" w:space="0" w:color="auto"/>
        <w:right w:val="none" w:sz="0" w:space="0" w:color="auto"/>
      </w:divBdr>
    </w:div>
    <w:div w:id="920720699">
      <w:bodyDiv w:val="1"/>
      <w:marLeft w:val="0"/>
      <w:marRight w:val="0"/>
      <w:marTop w:val="0"/>
      <w:marBottom w:val="0"/>
      <w:divBdr>
        <w:top w:val="none" w:sz="0" w:space="0" w:color="auto"/>
        <w:left w:val="none" w:sz="0" w:space="0" w:color="auto"/>
        <w:bottom w:val="none" w:sz="0" w:space="0" w:color="auto"/>
        <w:right w:val="none" w:sz="0" w:space="0" w:color="auto"/>
      </w:divBdr>
      <w:divsChild>
        <w:div w:id="1516459837">
          <w:marLeft w:val="0"/>
          <w:marRight w:val="0"/>
          <w:marTop w:val="0"/>
          <w:marBottom w:val="0"/>
          <w:divBdr>
            <w:top w:val="single" w:sz="2" w:space="0" w:color="auto"/>
            <w:left w:val="single" w:sz="2" w:space="0" w:color="auto"/>
            <w:bottom w:val="single" w:sz="2" w:space="0" w:color="auto"/>
            <w:right w:val="single" w:sz="2" w:space="0" w:color="auto"/>
          </w:divBdr>
        </w:div>
        <w:div w:id="1428579059">
          <w:marLeft w:val="0"/>
          <w:marRight w:val="0"/>
          <w:marTop w:val="0"/>
          <w:marBottom w:val="0"/>
          <w:divBdr>
            <w:top w:val="single" w:sz="2" w:space="0" w:color="auto"/>
            <w:left w:val="single" w:sz="2" w:space="0" w:color="auto"/>
            <w:bottom w:val="single" w:sz="2" w:space="0" w:color="auto"/>
            <w:right w:val="single" w:sz="2" w:space="0" w:color="auto"/>
          </w:divBdr>
        </w:div>
      </w:divsChild>
    </w:div>
    <w:div w:id="1177186360">
      <w:bodyDiv w:val="1"/>
      <w:marLeft w:val="0"/>
      <w:marRight w:val="0"/>
      <w:marTop w:val="0"/>
      <w:marBottom w:val="0"/>
      <w:divBdr>
        <w:top w:val="none" w:sz="0" w:space="0" w:color="auto"/>
        <w:left w:val="none" w:sz="0" w:space="0" w:color="auto"/>
        <w:bottom w:val="none" w:sz="0" w:space="0" w:color="auto"/>
        <w:right w:val="none" w:sz="0" w:space="0" w:color="auto"/>
      </w:divBdr>
      <w:divsChild>
        <w:div w:id="47337751">
          <w:marLeft w:val="0"/>
          <w:marRight w:val="0"/>
          <w:marTop w:val="0"/>
          <w:marBottom w:val="0"/>
          <w:divBdr>
            <w:top w:val="single" w:sz="2" w:space="0" w:color="auto"/>
            <w:left w:val="single" w:sz="2" w:space="0" w:color="auto"/>
            <w:bottom w:val="single" w:sz="2" w:space="0" w:color="auto"/>
            <w:right w:val="single" w:sz="2" w:space="0" w:color="auto"/>
          </w:divBdr>
        </w:div>
        <w:div w:id="181018865">
          <w:marLeft w:val="0"/>
          <w:marRight w:val="0"/>
          <w:marTop w:val="0"/>
          <w:marBottom w:val="0"/>
          <w:divBdr>
            <w:top w:val="single" w:sz="2" w:space="0" w:color="auto"/>
            <w:left w:val="single" w:sz="2" w:space="0" w:color="auto"/>
            <w:bottom w:val="single" w:sz="2" w:space="0" w:color="auto"/>
            <w:right w:val="single" w:sz="2" w:space="0" w:color="auto"/>
          </w:divBdr>
        </w:div>
        <w:div w:id="720514663">
          <w:marLeft w:val="0"/>
          <w:marRight w:val="0"/>
          <w:marTop w:val="0"/>
          <w:marBottom w:val="0"/>
          <w:divBdr>
            <w:top w:val="single" w:sz="2" w:space="0" w:color="auto"/>
            <w:left w:val="single" w:sz="2" w:space="0" w:color="auto"/>
            <w:bottom w:val="single" w:sz="2" w:space="0" w:color="auto"/>
            <w:right w:val="single" w:sz="2" w:space="0" w:color="auto"/>
          </w:divBdr>
        </w:div>
      </w:divsChild>
    </w:div>
    <w:div w:id="1896157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1457</Words>
  <Characters>8306</Characters>
  <Application>Microsoft Office Word</Application>
  <DocSecurity>0</DocSecurity>
  <Lines>69</Lines>
  <Paragraphs>19</Paragraphs>
  <ScaleCrop>false</ScaleCrop>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 Li 李华</dc:creator>
  <cp:lastModifiedBy>Hua Li 李华</cp:lastModifiedBy>
  <cp:revision>2</cp:revision>
  <dcterms:created xsi:type="dcterms:W3CDTF">2025-11-07T13:39:00Z</dcterms:created>
  <dcterms:modified xsi:type="dcterms:W3CDTF">2025-11-07T13:39:00Z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y fmtid="{D5CDD505-2E9C-101B-9397-08002B2CF9AE}" pid="5" name="KSOTemplateDocerSaveRecord">
    <vt:lpwstr>eyJoZGlkIjoiOTc3M2Y5NzIzMDFlZjAyY2Q4Njk5ODkyYjFjNzBiNTQiLCJ1c2VySWQiOiIxMDU2NDc1NDc0In0=</vt:lpwstr>
  </property>
  <property fmtid="{D5CDD505-2E9C-101B-9397-08002B2CF9AE}" pid="6" name="KSOProductBuildVer">
    <vt:lpwstr>2052-12.1.0.22529</vt:lpwstr>
  </property>
  <property fmtid="{D5CDD505-2E9C-101B-9397-08002B2CF9AE}" pid="7" name="ICV">
    <vt:lpwstr>FDE1C34AF5F949DEBC0E07D358F36B5D_12</vt:lpwstr>
  </property>
</Properties>
</file>